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E73741" w:rsidTr="006816EC">
        <w:trPr>
          <w:jc w:val="center"/>
        </w:trPr>
        <w:tc>
          <w:tcPr>
            <w:tcW w:w="743" w:type="dxa"/>
            <w:hideMark/>
          </w:tcPr>
          <w:p w:rsidR="006816EC" w:rsidRPr="00E73741" w:rsidRDefault="00FB3C14">
            <w:pPr>
              <w:jc w:val="both"/>
              <w:rPr>
                <w:rFonts w:ascii="David" w:hAnsi="David"/>
                <w:b/>
                <w:bCs/>
              </w:rPr>
            </w:pPr>
            <w:r w:rsidRPr="00E73741">
              <w:rPr>
                <w:rFonts w:ascii="David" w:hAnsi="David"/>
                <w:b/>
                <w:bCs/>
                <w:rtl/>
              </w:rPr>
              <w:t>ל</w:t>
            </w:r>
            <w:r w:rsidR="006816EC" w:rsidRPr="00E73741">
              <w:rPr>
                <w:rFonts w:ascii="David" w:hAnsi="David"/>
                <w:b/>
                <w:bCs/>
                <w:rtl/>
              </w:rPr>
              <w:t xml:space="preserve">פני </w:t>
            </w:r>
          </w:p>
        </w:tc>
        <w:tc>
          <w:tcPr>
            <w:tcW w:w="8077" w:type="dxa"/>
            <w:gridSpan w:val="2"/>
            <w:hideMark/>
          </w:tcPr>
          <w:p w:rsidR="006816EC" w:rsidRPr="00E73741" w:rsidRDefault="00B32C61" w:rsidP="006816EC">
            <w:pPr>
              <w:rPr>
                <w:rFonts w:ascii="David" w:hAnsi="David"/>
                <w:b/>
                <w:bCs/>
                <w:rtl/>
              </w:rPr>
            </w:pPr>
            <w:r w:rsidRPr="00E73741">
              <w:rPr>
                <w:rFonts w:ascii="David" w:hAnsi="David"/>
                <w:b/>
                <w:bCs/>
                <w:rtl/>
              </w:rPr>
              <w:t>כבוד</w:t>
            </w:r>
            <w:r w:rsidR="006816EC" w:rsidRPr="00E73741">
              <w:rPr>
                <w:rFonts w:ascii="David" w:hAnsi="David"/>
                <w:b/>
                <w:bCs/>
                <w:rtl/>
              </w:rPr>
              <w:t xml:space="preserve"> ה</w:t>
            </w:r>
            <w:r w:rsidRPr="00E73741">
              <w:rPr>
                <w:rFonts w:ascii="David" w:hAnsi="David"/>
                <w:b/>
                <w:bCs/>
                <w:rtl/>
              </w:rPr>
              <w:t>שופטת, סגנית הנשיא</w:t>
            </w:r>
            <w:r w:rsidR="006816EC" w:rsidRPr="00E73741">
              <w:rPr>
                <w:rFonts w:ascii="David" w:hAnsi="David"/>
                <w:b/>
                <w:bCs/>
                <w:rtl/>
              </w:rPr>
              <w:t xml:space="preserve">  </w:t>
            </w:r>
            <w:r w:rsidRPr="00E73741">
              <w:rPr>
                <w:rFonts w:ascii="David" w:hAnsi="David"/>
                <w:b/>
                <w:bCs/>
                <w:rtl/>
              </w:rPr>
              <w:t>רותם קודלר עיאש</w:t>
            </w:r>
          </w:p>
          <w:p w:rsidR="006816EC" w:rsidRPr="00E73741" w:rsidRDefault="006816EC" w:rsidP="006816EC">
            <w:pPr>
              <w:rPr>
                <w:rFonts w:ascii="David" w:hAnsi="David"/>
              </w:rPr>
            </w:pPr>
          </w:p>
        </w:tc>
      </w:tr>
      <w:tr w:rsidR="006816EC" w:rsidRPr="00E73741" w:rsidTr="006816EC">
        <w:trPr>
          <w:jc w:val="center"/>
        </w:trPr>
        <w:tc>
          <w:tcPr>
            <w:tcW w:w="3249" w:type="dxa"/>
            <w:gridSpan w:val="2"/>
          </w:tcPr>
          <w:p w:rsidR="006816EC" w:rsidRPr="00E73741" w:rsidRDefault="006816EC">
            <w:pPr>
              <w:bidi w:val="0"/>
              <w:rPr>
                <w:rFonts w:ascii="David" w:hAnsi="David"/>
                <w:b/>
                <w:bCs/>
                <w:noProof w:val="0"/>
                <w:rtl/>
              </w:rPr>
            </w:pPr>
          </w:p>
          <w:p w:rsidR="00BC716A" w:rsidRPr="00E73741" w:rsidRDefault="00E51BCF">
            <w:pPr>
              <w:rPr>
                <w:rFonts w:ascii="David" w:hAnsi="David"/>
                <w:b/>
                <w:bCs/>
                <w:noProof w:val="0"/>
              </w:rPr>
            </w:pPr>
            <w:r w:rsidRPr="00E73741">
              <w:rPr>
                <w:rFonts w:ascii="David" w:hAnsi="David"/>
                <w:b/>
                <w:bCs/>
                <w:noProof w:val="0"/>
                <w:rtl/>
              </w:rPr>
              <w:t>התובעת:</w:t>
            </w:r>
          </w:p>
        </w:tc>
        <w:tc>
          <w:tcPr>
            <w:tcW w:w="5571" w:type="dxa"/>
          </w:tcPr>
          <w:p w:rsidR="006816EC" w:rsidRPr="00E73741" w:rsidRDefault="006816EC">
            <w:pPr>
              <w:rPr>
                <w:rFonts w:ascii="David" w:hAnsi="David"/>
                <w:b/>
                <w:bCs/>
                <w:noProof w:val="0"/>
                <w:rtl/>
              </w:rPr>
            </w:pPr>
          </w:p>
          <w:p w:rsidR="00AC74C4" w:rsidRPr="00E73741" w:rsidRDefault="005446FA">
            <w:pPr>
              <w:rPr>
                <w:rFonts w:ascii="David" w:hAnsi="David"/>
                <w:b/>
                <w:bCs/>
                <w:noProof w:val="0"/>
                <w:rtl/>
              </w:rPr>
            </w:pPr>
            <w:r>
              <w:rPr>
                <w:rFonts w:ascii="David" w:hAnsi="David" w:hint="cs"/>
                <w:b/>
                <w:bCs/>
                <w:noProof w:val="0"/>
                <w:rtl/>
              </w:rPr>
              <w:t>פלונית</w:t>
            </w:r>
          </w:p>
          <w:p w:rsidR="006816EC" w:rsidRPr="00E73741" w:rsidRDefault="00E44DDF">
            <w:pPr>
              <w:rPr>
                <w:rFonts w:ascii="David" w:hAnsi="David"/>
                <w:b/>
                <w:bCs/>
                <w:noProof w:val="0"/>
              </w:rPr>
            </w:pPr>
            <w:r w:rsidRPr="00E73741">
              <w:rPr>
                <w:rFonts w:ascii="David" w:hAnsi="David"/>
                <w:b/>
                <w:bCs/>
                <w:noProof w:val="0"/>
                <w:rtl/>
              </w:rPr>
              <w:t>ע"י ב"כ עוה"ד</w:t>
            </w:r>
            <w:r w:rsidR="00AC74C4" w:rsidRPr="00E73741">
              <w:rPr>
                <w:rFonts w:ascii="David" w:hAnsi="David"/>
                <w:b/>
                <w:bCs/>
                <w:noProof w:val="0"/>
                <w:rtl/>
              </w:rPr>
              <w:t xml:space="preserve"> איציק מלכא</w:t>
            </w:r>
          </w:p>
        </w:tc>
      </w:tr>
      <w:tr w:rsidR="006816EC" w:rsidRPr="00E73741" w:rsidTr="006816EC">
        <w:trPr>
          <w:jc w:val="center"/>
        </w:trPr>
        <w:tc>
          <w:tcPr>
            <w:tcW w:w="8820" w:type="dxa"/>
            <w:gridSpan w:val="3"/>
          </w:tcPr>
          <w:p w:rsidR="006816EC" w:rsidRPr="00E73741" w:rsidRDefault="006816EC">
            <w:pPr>
              <w:rPr>
                <w:rFonts w:ascii="David" w:hAnsi="David"/>
                <w:b/>
                <w:bCs/>
                <w:noProof w:val="0"/>
                <w:rtl/>
              </w:rPr>
            </w:pPr>
          </w:p>
          <w:p w:rsidR="006816EC" w:rsidRPr="00E73741" w:rsidRDefault="006816EC">
            <w:pPr>
              <w:jc w:val="center"/>
              <w:rPr>
                <w:rFonts w:ascii="David" w:hAnsi="David"/>
                <w:b/>
                <w:bCs/>
                <w:noProof w:val="0"/>
                <w:rtl/>
              </w:rPr>
            </w:pPr>
            <w:r w:rsidRPr="00E73741">
              <w:rPr>
                <w:rFonts w:ascii="David" w:hAnsi="David"/>
                <w:b/>
                <w:bCs/>
                <w:noProof w:val="0"/>
                <w:rtl/>
              </w:rPr>
              <w:t>נגד</w:t>
            </w:r>
          </w:p>
          <w:p w:rsidR="006816EC" w:rsidRPr="00E73741" w:rsidRDefault="006816EC">
            <w:pPr>
              <w:rPr>
                <w:rFonts w:ascii="David" w:hAnsi="David"/>
                <w:b/>
                <w:bCs/>
                <w:noProof w:val="0"/>
              </w:rPr>
            </w:pPr>
          </w:p>
        </w:tc>
      </w:tr>
      <w:tr w:rsidR="006816EC" w:rsidRPr="00E73741" w:rsidTr="006816EC">
        <w:trPr>
          <w:jc w:val="center"/>
        </w:trPr>
        <w:tc>
          <w:tcPr>
            <w:tcW w:w="3249" w:type="dxa"/>
            <w:gridSpan w:val="2"/>
          </w:tcPr>
          <w:p w:rsidR="006816EC" w:rsidRPr="00E73741" w:rsidRDefault="00E51BCF" w:rsidP="00AC74C4">
            <w:pPr>
              <w:rPr>
                <w:rFonts w:ascii="David" w:hAnsi="David"/>
                <w:b/>
                <w:bCs/>
                <w:noProof w:val="0"/>
              </w:rPr>
            </w:pPr>
            <w:r w:rsidRPr="00E73741">
              <w:rPr>
                <w:rFonts w:ascii="David" w:hAnsi="David"/>
                <w:b/>
                <w:bCs/>
                <w:noProof w:val="0"/>
                <w:rtl/>
              </w:rPr>
              <w:t>הנתבעת:</w:t>
            </w:r>
          </w:p>
        </w:tc>
        <w:tc>
          <w:tcPr>
            <w:tcW w:w="5571" w:type="dxa"/>
          </w:tcPr>
          <w:p w:rsidR="00AC74C4" w:rsidRPr="00E73741" w:rsidRDefault="005446FA">
            <w:pPr>
              <w:rPr>
                <w:rFonts w:ascii="David" w:hAnsi="David"/>
                <w:b/>
                <w:bCs/>
                <w:noProof w:val="0"/>
                <w:rtl/>
              </w:rPr>
            </w:pPr>
            <w:r>
              <w:rPr>
                <w:rFonts w:ascii="David" w:hAnsi="David" w:hint="cs"/>
                <w:b/>
                <w:bCs/>
                <w:noProof w:val="0"/>
                <w:rtl/>
              </w:rPr>
              <w:t>אלמונית</w:t>
            </w:r>
          </w:p>
          <w:p w:rsidR="006816EC" w:rsidRPr="00E73741" w:rsidRDefault="00E44DDF">
            <w:pPr>
              <w:rPr>
                <w:rFonts w:ascii="David" w:hAnsi="David"/>
                <w:b/>
                <w:bCs/>
                <w:noProof w:val="0"/>
              </w:rPr>
            </w:pPr>
            <w:r w:rsidRPr="00E73741">
              <w:rPr>
                <w:rFonts w:ascii="David" w:hAnsi="David"/>
                <w:b/>
                <w:bCs/>
                <w:noProof w:val="0"/>
                <w:rtl/>
              </w:rPr>
              <w:t>ע"י ב"כ עוה"ד</w:t>
            </w:r>
            <w:r w:rsidR="00AC74C4" w:rsidRPr="00E73741">
              <w:rPr>
                <w:rFonts w:ascii="David" w:hAnsi="David"/>
                <w:b/>
                <w:bCs/>
                <w:noProof w:val="0"/>
                <w:rtl/>
              </w:rPr>
              <w:t xml:space="preserve"> דני אליגון</w:t>
            </w:r>
          </w:p>
        </w:tc>
      </w:tr>
      <w:tr w:rsidR="00D36A71" w:rsidRPr="00E73741" w:rsidTr="00A94B1C">
        <w:trPr>
          <w:jc w:val="center"/>
        </w:trPr>
        <w:tc>
          <w:tcPr>
            <w:tcW w:w="8820" w:type="dxa"/>
            <w:gridSpan w:val="3"/>
          </w:tcPr>
          <w:p w:rsidR="00D36A71" w:rsidRPr="00E73741" w:rsidRDefault="00D36A71">
            <w:pPr>
              <w:rPr>
                <w:rFonts w:ascii="David" w:hAnsi="David"/>
                <w:b/>
                <w:bCs/>
                <w:noProof w:val="0"/>
                <w:rtl/>
              </w:rPr>
            </w:pPr>
          </w:p>
        </w:tc>
      </w:tr>
      <w:tr w:rsidR="00D36A71" w:rsidRPr="00E73741" w:rsidTr="006816EC">
        <w:trPr>
          <w:jc w:val="center"/>
        </w:trPr>
        <w:tc>
          <w:tcPr>
            <w:tcW w:w="3249" w:type="dxa"/>
            <w:gridSpan w:val="2"/>
          </w:tcPr>
          <w:p w:rsidR="00BC716A" w:rsidRPr="00E73741" w:rsidRDefault="00BC716A">
            <w:pPr>
              <w:rPr>
                <w:rFonts w:ascii="David" w:eastAsia="David" w:hAnsi="David"/>
                <w:noProof w:val="0"/>
              </w:rPr>
            </w:pPr>
          </w:p>
        </w:tc>
        <w:tc>
          <w:tcPr>
            <w:tcW w:w="5571" w:type="dxa"/>
          </w:tcPr>
          <w:p w:rsidR="00BC716A" w:rsidRPr="00E73741" w:rsidRDefault="00BC716A">
            <w:pPr>
              <w:rPr>
                <w:rFonts w:ascii="David" w:hAnsi="David"/>
              </w:rPr>
            </w:pPr>
          </w:p>
        </w:tc>
      </w:tr>
      <w:tr w:rsidR="00694556" w:rsidRPr="00E73741">
        <w:trPr>
          <w:jc w:val="center"/>
        </w:trPr>
        <w:tc>
          <w:tcPr>
            <w:tcW w:w="8820" w:type="dxa"/>
            <w:gridSpan w:val="3"/>
          </w:tcPr>
          <w:p w:rsidR="00694556" w:rsidRPr="00E73741" w:rsidRDefault="00005C8B">
            <w:pPr>
              <w:bidi w:val="0"/>
              <w:jc w:val="center"/>
              <w:rPr>
                <w:rFonts w:ascii="David" w:hAnsi="David"/>
                <w:b/>
                <w:bCs/>
                <w:noProof w:val="0"/>
                <w:u w:val="single"/>
              </w:rPr>
            </w:pPr>
            <w:r w:rsidRPr="00E73741">
              <w:rPr>
                <w:rFonts w:ascii="David" w:hAnsi="David"/>
                <w:b/>
                <w:bCs/>
                <w:noProof w:val="0"/>
                <w:u w:val="single"/>
                <w:rtl/>
              </w:rPr>
              <w:t>פסק דין</w:t>
            </w:r>
          </w:p>
        </w:tc>
      </w:tr>
    </w:tbl>
    <w:p w:rsidR="00694556" w:rsidRPr="00E73741" w:rsidRDefault="00694556">
      <w:pPr>
        <w:spacing w:line="360" w:lineRule="auto"/>
        <w:jc w:val="both"/>
        <w:rPr>
          <w:rFonts w:ascii="David" w:hAnsi="David"/>
          <w:noProof w:val="0"/>
          <w:rtl/>
        </w:rPr>
      </w:pPr>
    </w:p>
    <w:p w:rsidR="00E73741" w:rsidRPr="00E73741" w:rsidRDefault="00E73741" w:rsidP="00E73741">
      <w:pPr>
        <w:spacing w:line="360" w:lineRule="auto"/>
        <w:jc w:val="both"/>
        <w:rPr>
          <w:rFonts w:ascii="David" w:hAnsi="David"/>
          <w:b/>
          <w:bCs/>
          <w:noProof w:val="0"/>
        </w:rPr>
      </w:pPr>
      <w:r w:rsidRPr="00E73741">
        <w:rPr>
          <w:rFonts w:ascii="David" w:hAnsi="David"/>
          <w:b/>
          <w:bCs/>
          <w:rtl/>
        </w:rPr>
        <w:t xml:space="preserve">עניינו של פסק דין זה הכרעה בתביעת אם לביטול מתנה שהעניקה לבתה הנתבעת, תוך שהיא עותרת לכך שיירשמו על שמה 71% מהזכויות בדירה שנרכשה ע"י הבת, לטענתה תוך שימוש בכספי המתנה.  </w:t>
      </w:r>
    </w:p>
    <w:p w:rsidR="00E73741" w:rsidRPr="00E73741" w:rsidRDefault="00E73741" w:rsidP="00E73741">
      <w:pPr>
        <w:spacing w:line="360" w:lineRule="auto"/>
        <w:jc w:val="both"/>
        <w:rPr>
          <w:rFonts w:ascii="David" w:hAnsi="David"/>
          <w:sz w:val="22"/>
          <w:szCs w:val="22"/>
        </w:rPr>
      </w:pPr>
    </w:p>
    <w:p w:rsidR="00E73741" w:rsidRPr="00E73741" w:rsidRDefault="00E73741" w:rsidP="00E73741">
      <w:pPr>
        <w:spacing w:line="360" w:lineRule="auto"/>
        <w:jc w:val="both"/>
        <w:rPr>
          <w:rFonts w:ascii="David" w:hAnsi="David"/>
          <w:b/>
          <w:bCs/>
          <w:sz w:val="26"/>
          <w:szCs w:val="26"/>
          <w:u w:val="single"/>
        </w:rPr>
      </w:pPr>
      <w:r w:rsidRPr="00E73741">
        <w:rPr>
          <w:rFonts w:ascii="David" w:hAnsi="David"/>
          <w:b/>
          <w:bCs/>
          <w:sz w:val="26"/>
          <w:szCs w:val="26"/>
          <w:u w:val="single"/>
          <w:rtl/>
        </w:rPr>
        <w:t xml:space="preserve">טענות התביעה </w:t>
      </w:r>
    </w:p>
    <w:p w:rsidR="00E73741" w:rsidRPr="00E73741" w:rsidRDefault="00E73741" w:rsidP="00E73741">
      <w:pPr>
        <w:pStyle w:val="ad"/>
        <w:numPr>
          <w:ilvl w:val="0"/>
          <w:numId w:val="8"/>
        </w:numPr>
        <w:spacing w:line="360" w:lineRule="auto"/>
        <w:jc w:val="both"/>
        <w:rPr>
          <w:rFonts w:ascii="David" w:hAnsi="David"/>
          <w:sz w:val="26"/>
          <w:szCs w:val="26"/>
          <w:rtl/>
        </w:rPr>
      </w:pPr>
    </w:p>
    <w:p w:rsidR="00E73741" w:rsidRPr="00E73741" w:rsidRDefault="00E73741" w:rsidP="00E73741">
      <w:pPr>
        <w:pStyle w:val="ad"/>
        <w:numPr>
          <w:ilvl w:val="0"/>
          <w:numId w:val="9"/>
        </w:numPr>
        <w:spacing w:line="360" w:lineRule="auto"/>
        <w:jc w:val="both"/>
        <w:rPr>
          <w:rFonts w:ascii="David" w:hAnsi="David"/>
          <w:rtl/>
        </w:rPr>
      </w:pPr>
      <w:r w:rsidRPr="00E73741">
        <w:rPr>
          <w:rFonts w:ascii="David" w:hAnsi="David"/>
          <w:rtl/>
        </w:rPr>
        <w:t xml:space="preserve">התובעת טוענת כי היא ובעלה המנוח, נישאו בשנת 1965, נולדו להם חמישה ילדים אותם גידלו בחום ואהבה רבה. </w:t>
      </w:r>
    </w:p>
    <w:p w:rsidR="00E73741" w:rsidRPr="00E73741" w:rsidRDefault="00E73741" w:rsidP="00E73741">
      <w:pPr>
        <w:pStyle w:val="ad"/>
        <w:numPr>
          <w:ilvl w:val="0"/>
          <w:numId w:val="9"/>
        </w:numPr>
        <w:spacing w:line="360" w:lineRule="auto"/>
        <w:jc w:val="both"/>
        <w:rPr>
          <w:rFonts w:ascii="David" w:hAnsi="David"/>
          <w:rtl/>
        </w:rPr>
      </w:pPr>
      <w:r w:rsidRPr="00E73741">
        <w:rPr>
          <w:rFonts w:ascii="David" w:hAnsi="David"/>
          <w:rtl/>
        </w:rPr>
        <w:t xml:space="preserve">התובעת מציינת כי הנתבעת הינה בתה הקטנה, אותה גידלה במסירות מופלאה וכי גם לאחר חתונתה בחרה הנתבעת מטעמי נוחות אישית וכלכלית להמשיך להתגורר עם הוריה, אשר דאגו לכל מחסורה, צרכיה וצרכי ארבעת בנותיה במסירות ואהבה. </w:t>
      </w:r>
    </w:p>
    <w:p w:rsidR="00E73741" w:rsidRPr="00E73741" w:rsidRDefault="00E73741" w:rsidP="00642BE8">
      <w:pPr>
        <w:pStyle w:val="ad"/>
        <w:numPr>
          <w:ilvl w:val="0"/>
          <w:numId w:val="9"/>
        </w:numPr>
        <w:spacing w:line="360" w:lineRule="auto"/>
        <w:jc w:val="both"/>
        <w:rPr>
          <w:rFonts w:ascii="David" w:hAnsi="David"/>
          <w:rtl/>
        </w:rPr>
      </w:pPr>
      <w:r w:rsidRPr="00E73741">
        <w:rPr>
          <w:rFonts w:ascii="David" w:hAnsi="David"/>
          <w:rtl/>
        </w:rPr>
        <w:t xml:space="preserve">התובעת טוענת כי העניקה לנתבעת מתנה תחת חיוב כי התובעת תמשיך להתגורר עם הנתבעת עד יומה האחרון ומבקשת להורות על ביטול המתנה וליתן פסק דין הצהרתי הקובע כי לתובעת חלק של 71% בדירה המצויה ברח' </w:t>
      </w:r>
      <w:r w:rsidR="00642BE8">
        <w:rPr>
          <w:rFonts w:ascii="David" w:hAnsi="David" w:hint="cs"/>
        </w:rPr>
        <w:t>X</w:t>
      </w:r>
      <w:r w:rsidR="00642BE8">
        <w:rPr>
          <w:rFonts w:ascii="David" w:hAnsi="David"/>
          <w:rtl/>
        </w:rPr>
        <w:t xml:space="preserve"> ב</w:t>
      </w:r>
      <w:r w:rsidR="00642BE8">
        <w:rPr>
          <w:rFonts w:ascii="David" w:hAnsi="David" w:hint="cs"/>
          <w:rtl/>
        </w:rPr>
        <w:t>******</w:t>
      </w:r>
      <w:r w:rsidRPr="00E73741">
        <w:rPr>
          <w:rFonts w:ascii="David" w:hAnsi="David"/>
          <w:rtl/>
        </w:rPr>
        <w:t>.</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עותרת להורות לרשם המקרקעין לבצע את רישום הבעלות על שמה, ולחילופין להורות לנתבעת לשלם לה את שווי השקעתה בדירה.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lastRenderedPageBreak/>
        <w:t>התובעת טוענת כי היא ובעלה המנ</w:t>
      </w:r>
      <w:r w:rsidR="00642BE8">
        <w:rPr>
          <w:rFonts w:ascii="David" w:hAnsi="David"/>
          <w:rtl/>
        </w:rPr>
        <w:t xml:space="preserve">וח היו בעלים של דירה ברח' </w:t>
      </w:r>
      <w:r w:rsidR="00642BE8">
        <w:rPr>
          <w:rFonts w:ascii="David" w:hAnsi="David" w:hint="cs"/>
        </w:rPr>
        <w:t>Y</w:t>
      </w:r>
      <w:r w:rsidR="00642BE8">
        <w:rPr>
          <w:rFonts w:ascii="David" w:hAnsi="David"/>
          <w:rtl/>
        </w:rPr>
        <w:t xml:space="preserve"> ב</w:t>
      </w:r>
      <w:r w:rsidR="00642BE8">
        <w:rPr>
          <w:rFonts w:ascii="David" w:hAnsi="David" w:hint="cs"/>
          <w:rtl/>
        </w:rPr>
        <w:t>****</w:t>
      </w:r>
      <w:r w:rsidRPr="00E73741">
        <w:rPr>
          <w:rFonts w:ascii="David" w:hAnsi="David"/>
          <w:rtl/>
        </w:rPr>
        <w:t>. בשנת 2009 נפטר בעלה ממחלת הסרטן, ובחלוף ימי האבל ביקשה התובעת להעביר את הדירה על שמה ופנתה בבקשה לקבלת צו ירושה.</w:t>
      </w:r>
    </w:p>
    <w:p w:rsidR="00E73741" w:rsidRPr="00E73741" w:rsidRDefault="00E73741" w:rsidP="00642BE8">
      <w:pPr>
        <w:pStyle w:val="ad"/>
        <w:numPr>
          <w:ilvl w:val="0"/>
          <w:numId w:val="9"/>
        </w:numPr>
        <w:spacing w:line="360" w:lineRule="auto"/>
        <w:jc w:val="both"/>
        <w:rPr>
          <w:rFonts w:ascii="David" w:hAnsi="David"/>
          <w:rtl/>
        </w:rPr>
      </w:pPr>
      <w:r w:rsidRPr="00E73741">
        <w:rPr>
          <w:rFonts w:ascii="David" w:hAnsi="David"/>
          <w:rtl/>
        </w:rPr>
        <w:t xml:space="preserve">התובעת מציינת כי לצורך קבלת צו הירושה, כל ילדי התובעת, לרבות הנתבעת חתמו על הסתלקות מעיזבון האב המנוח והבית ברח' </w:t>
      </w:r>
      <w:r w:rsidR="00642BE8">
        <w:rPr>
          <w:rFonts w:ascii="David" w:hAnsi="David" w:hint="cs"/>
        </w:rPr>
        <w:t>Y</w:t>
      </w:r>
      <w:r w:rsidRPr="00E73741">
        <w:rPr>
          <w:rFonts w:ascii="David" w:hAnsi="David"/>
          <w:rtl/>
        </w:rPr>
        <w:t xml:space="preserve"> </w:t>
      </w:r>
      <w:r w:rsidR="00642BE8">
        <w:rPr>
          <w:rFonts w:ascii="David" w:hAnsi="David"/>
          <w:rtl/>
        </w:rPr>
        <w:t>ב*********</w:t>
      </w:r>
      <w:r w:rsidRPr="00E73741">
        <w:rPr>
          <w:rFonts w:ascii="David" w:hAnsi="David"/>
          <w:rtl/>
        </w:rPr>
        <w:t xml:space="preserve"> נרשם על שם התובעת.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מציינת כי לאורך כל השנים הנתבעת ובנותיה התגורר יחד עם התובעת ובעלה המנוח, וגם לאחר פטירתו ועובר לגירושי הנתבעת, המשיך מצב זה, תוך שהתובעת, הנתבעת והנכדות ממשיך להתגורר יחד בהרמוניה ובאהבה.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מציינת כי מתוך אמונה שלה בנתבעת, ניגשו השתיים ביום 19.10.2009, לבנק בו התנהל חשבון התובעת, והתובעת ביקשה לצרף את הנתבעת כשותפה בחשבון. התובעת מציינת כי לנתבעת היה ועדיין קיים חשבון אחר, והיא מעולם לא הפקידה כספים או משכורת לחשבון המשותף עם התובעת, למעט כספים שהתקבלו ממכירת דירת התובעת, תוך שמחשבון זה הועברו כספים לרכישת הבית ברח' </w:t>
      </w:r>
      <w:r w:rsidR="00642BE8">
        <w:rPr>
          <w:rFonts w:ascii="David" w:hAnsi="David"/>
        </w:rPr>
        <w:t>X</w:t>
      </w:r>
      <w:r w:rsidRPr="00E73741">
        <w:rPr>
          <w:rFonts w:ascii="David" w:hAnsi="David"/>
          <w:rtl/>
        </w:rPr>
        <w:t xml:space="preserve"> ולחשבונה האישי של הנתבעת.</w:t>
      </w:r>
    </w:p>
    <w:p w:rsidR="00E73741" w:rsidRPr="00E73741" w:rsidRDefault="00E73741" w:rsidP="00642BE8">
      <w:pPr>
        <w:pStyle w:val="ad"/>
        <w:numPr>
          <w:ilvl w:val="0"/>
          <w:numId w:val="9"/>
        </w:numPr>
        <w:spacing w:line="360" w:lineRule="auto"/>
        <w:jc w:val="both"/>
        <w:rPr>
          <w:rFonts w:ascii="David" w:hAnsi="David"/>
        </w:rPr>
      </w:pPr>
      <w:r w:rsidRPr="00E73741">
        <w:rPr>
          <w:rFonts w:ascii="David" w:hAnsi="David"/>
          <w:rtl/>
        </w:rPr>
        <w:t xml:space="preserve">התובעת מציינת כי בחודש נובמבר 2009, חודש לאחר צירוף הנתבעת כשותפה בחשבון חתמה על הסכם מכר במטרה למכור את דירתה ברח' </w:t>
      </w:r>
      <w:r w:rsidR="00642BE8">
        <w:rPr>
          <w:rFonts w:ascii="David" w:hAnsi="David"/>
        </w:rPr>
        <w:t>Y</w:t>
      </w:r>
      <w:r w:rsidRPr="00E73741">
        <w:rPr>
          <w:rFonts w:ascii="David" w:hAnsi="David"/>
          <w:rtl/>
        </w:rPr>
        <w:t xml:space="preserve"> ולעבור להתגורר יחד עם הנתבעת בשכונת </w:t>
      </w:r>
      <w:r w:rsidR="00642BE8">
        <w:rPr>
          <w:rFonts w:ascii="David" w:hAnsi="David" w:hint="cs"/>
        </w:rPr>
        <w:t>OOO</w:t>
      </w:r>
      <w:r w:rsidRPr="00E73741">
        <w:rPr>
          <w:rFonts w:ascii="David" w:hAnsi="David"/>
          <w:rtl/>
        </w:rPr>
        <w:t xml:space="preserve"> </w:t>
      </w:r>
      <w:r w:rsidR="00642BE8">
        <w:rPr>
          <w:rFonts w:ascii="David" w:hAnsi="David"/>
          <w:rtl/>
        </w:rPr>
        <w:t>ב*********</w:t>
      </w:r>
      <w:r w:rsidRPr="00E73741">
        <w:rPr>
          <w:rFonts w:ascii="David" w:hAnsi="David"/>
          <w:rtl/>
        </w:rPr>
        <w:t xml:space="preserve">, שם מצאה בית וסוכמו בעל פה פרטים, אולם נוכח סירוב הבנק לתת משכנתא לרוכשים, בוטלה אותה עסקת מכר.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מציינת כי בחלוף זמן, פנתה הנתבעת לתובעת בבקשה כי יעברו להתגורר יחד בבית אחר, כדי שבנותיה, נכדותיה של התובעת יגדלו בשכונה אחרת.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אשר מציינת כי לא היה לה כל הון עצמי מעבר לאותה דירה ברח' </w:t>
      </w:r>
      <w:r w:rsidR="00642BE8">
        <w:rPr>
          <w:rFonts w:ascii="David" w:hAnsi="David"/>
        </w:rPr>
        <w:t>Y</w:t>
      </w:r>
      <w:r w:rsidRPr="00E73741">
        <w:rPr>
          <w:rFonts w:ascii="David" w:hAnsi="David"/>
          <w:rtl/>
        </w:rPr>
        <w:t xml:space="preserve">, ולא יכלה להרשות לעצמה לעבור לבית אחר, אולם מתוך אמונה שלמה בנתבעת, הסכימה להעביר את הדירה ברח' </w:t>
      </w:r>
      <w:r w:rsidR="00642BE8">
        <w:rPr>
          <w:rFonts w:ascii="David" w:hAnsi="David"/>
        </w:rPr>
        <w:t>Y</w:t>
      </w:r>
      <w:r w:rsidRPr="00E73741">
        <w:rPr>
          <w:rFonts w:ascii="David" w:hAnsi="David"/>
          <w:rtl/>
        </w:rPr>
        <w:t xml:space="preserve"> על שם הנתבעת, כדי לאפשר לה הון עצמי ללקיחת משכנתא, מתוך אמונה והבנה ברורה כי היא תתגורר עמה עד יומה האחרון, שכן אחרת לא היתה עושה כן בשום אופן.</w:t>
      </w:r>
    </w:p>
    <w:p w:rsidR="00E73741" w:rsidRPr="00E73741" w:rsidRDefault="00E73741" w:rsidP="00642BE8">
      <w:pPr>
        <w:pStyle w:val="ad"/>
        <w:numPr>
          <w:ilvl w:val="0"/>
          <w:numId w:val="9"/>
        </w:numPr>
        <w:spacing w:line="360" w:lineRule="auto"/>
        <w:jc w:val="both"/>
        <w:rPr>
          <w:rFonts w:ascii="David" w:hAnsi="David"/>
        </w:rPr>
      </w:pPr>
      <w:r w:rsidRPr="00E73741">
        <w:rPr>
          <w:rFonts w:ascii="David" w:hAnsi="David"/>
          <w:rtl/>
        </w:rPr>
        <w:lastRenderedPageBreak/>
        <w:t xml:space="preserve">התובעת מציינת כי רצתה לראות את בתה ונכדותיה מאושרות ועל כן ביום 10.7.2012 ניגשה יחד עם הנתבעת למשרדו של עו"ד </w:t>
      </w:r>
      <w:r w:rsidR="00642BE8">
        <w:rPr>
          <w:rFonts w:ascii="David" w:hAnsi="David" w:hint="cs"/>
          <w:rtl/>
        </w:rPr>
        <w:t>א'</w:t>
      </w:r>
      <w:r w:rsidRPr="00E73741">
        <w:rPr>
          <w:rFonts w:ascii="David" w:hAnsi="David"/>
          <w:rtl/>
        </w:rPr>
        <w:t xml:space="preserve"> ושם ביצעו את העברת הזכויות בדירה.</w:t>
      </w:r>
    </w:p>
    <w:p w:rsidR="00E73741" w:rsidRPr="00E73741" w:rsidRDefault="00E73741" w:rsidP="00642BE8">
      <w:pPr>
        <w:pStyle w:val="ad"/>
        <w:numPr>
          <w:ilvl w:val="0"/>
          <w:numId w:val="9"/>
        </w:numPr>
        <w:spacing w:line="360" w:lineRule="auto"/>
        <w:jc w:val="both"/>
        <w:rPr>
          <w:rFonts w:ascii="David" w:hAnsi="David"/>
        </w:rPr>
      </w:pPr>
      <w:r w:rsidRPr="00E73741">
        <w:rPr>
          <w:rFonts w:ascii="David" w:hAnsi="David"/>
          <w:rtl/>
        </w:rPr>
        <w:t xml:space="preserve">התובעת מציינת כי את עו"ד </w:t>
      </w:r>
      <w:r w:rsidR="00642BE8">
        <w:rPr>
          <w:rFonts w:ascii="David" w:hAnsi="David"/>
          <w:rtl/>
        </w:rPr>
        <w:t>א'</w:t>
      </w:r>
      <w:r w:rsidRPr="00E73741">
        <w:rPr>
          <w:rFonts w:ascii="David" w:hAnsi="David"/>
          <w:rtl/>
        </w:rPr>
        <w:t xml:space="preserve"> היא מכירה באמצעות רעייתו, הגב' </w:t>
      </w:r>
      <w:r w:rsidR="00642BE8">
        <w:rPr>
          <w:rFonts w:ascii="David" w:hAnsi="David"/>
          <w:rtl/>
        </w:rPr>
        <w:t>י'</w:t>
      </w:r>
      <w:r w:rsidRPr="00E73741">
        <w:rPr>
          <w:rFonts w:ascii="David" w:hAnsi="David"/>
          <w:rtl/>
        </w:rPr>
        <w:t xml:space="preserve"> המנהלת את משרדו, וכי העברת הזכויות בוצעה באמצעות תצהיר העברת זכויות קצר וענייני שבו נרשם "</w:t>
      </w:r>
      <w:r w:rsidRPr="00E73741">
        <w:rPr>
          <w:rFonts w:ascii="David" w:hAnsi="David"/>
          <w:b/>
          <w:bCs/>
          <w:rtl/>
        </w:rPr>
        <w:t xml:space="preserve">אני מסכימה להעביר לבתי </w:t>
      </w:r>
      <w:r w:rsidR="00642BE8">
        <w:rPr>
          <w:rFonts w:ascii="David" w:hAnsi="David" w:hint="cs"/>
          <w:b/>
          <w:bCs/>
          <w:rtl/>
        </w:rPr>
        <w:t>אלמונית</w:t>
      </w:r>
      <w:r w:rsidRPr="00E73741">
        <w:rPr>
          <w:rFonts w:ascii="David" w:hAnsi="David"/>
          <w:b/>
          <w:bCs/>
          <w:rtl/>
        </w:rPr>
        <w:t>... את מלוא זכויותיי בדירה</w:t>
      </w:r>
      <w:r w:rsidRPr="00E73741">
        <w:rPr>
          <w:rFonts w:ascii="David" w:hAnsi="David"/>
          <w:rtl/>
        </w:rPr>
        <w:t>".</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מציינת כי גם גב' </w:t>
      </w:r>
      <w:r w:rsidR="00642BE8">
        <w:rPr>
          <w:rFonts w:ascii="David" w:hAnsi="David"/>
          <w:rtl/>
        </w:rPr>
        <w:t>י'</w:t>
      </w:r>
      <w:r w:rsidRPr="00E73741">
        <w:rPr>
          <w:rFonts w:ascii="David" w:hAnsi="David"/>
          <w:rtl/>
        </w:rPr>
        <w:t xml:space="preserve"> רעייתו של עו"ד </w:t>
      </w:r>
      <w:r w:rsidR="00642BE8">
        <w:rPr>
          <w:rFonts w:ascii="David" w:hAnsi="David" w:hint="cs"/>
          <w:rtl/>
        </w:rPr>
        <w:t xml:space="preserve">א' </w:t>
      </w:r>
      <w:r w:rsidRPr="00E73741">
        <w:rPr>
          <w:rFonts w:ascii="David" w:hAnsi="David"/>
          <w:rtl/>
        </w:rPr>
        <w:t xml:space="preserve">שערך את ההסכם, הבינה היטב כי המטרה של התובעת היתה להעביר את הזכויות בדירה לנתבעת, לצורך רכישת בית אחר, על מנת שהשתיים ימשיכו להתגורר יחד עד יומה האחרון של התובעת.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צוין בכתב התביעה כי לתובעת היה אמון מלא ומוחלט בנתבעת וההבנה לטענתה היתה כי יעברו להתגורר יחד בבית בו יהיה לתובעת חדר משלה, בדיוק כפי שהיה בבית בו התגוררה באותה עת ברח' </w:t>
      </w:r>
      <w:r w:rsidR="00642BE8">
        <w:rPr>
          <w:rFonts w:ascii="David" w:hAnsi="David"/>
        </w:rPr>
        <w:t>Y</w:t>
      </w:r>
      <w:r w:rsidRPr="00E73741">
        <w:rPr>
          <w:rFonts w:ascii="David" w:hAnsi="David"/>
          <w:rtl/>
        </w:rPr>
        <w:t>.</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התובעת טוענת כי ניסיון החיים והשכל הישר מלמדים כי אדם לא יסכים למסור את קורת הגג הדלה והיחידה שלו מבלי שיישאר לו מחסה ומקום מגורים, וכי עשתה את הפעולה שעשתה מתוך הבנה ואמונה שלמה כי הנתבעת תקיים את התנאי המוסכם ביניהם.</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עוד מציינת התובעת כי תצהיר המתנה נחתם בשנת 2012 אך שטרי המכר נחתמו רק בחלוף 3 שנים, בשנת 2015.</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נטען כי בשנת 2017 פעלה הנתבעת בצורה עצמאית למכירת בית התובעת ברח' </w:t>
      </w:r>
      <w:r w:rsidR="00642BE8">
        <w:rPr>
          <w:rFonts w:ascii="David" w:hAnsi="David"/>
        </w:rPr>
        <w:t>Y</w:t>
      </w:r>
      <w:r w:rsidRPr="00E73741">
        <w:rPr>
          <w:rFonts w:ascii="David" w:hAnsi="David"/>
          <w:rtl/>
        </w:rPr>
        <w:t xml:space="preserve">, אשר הועבר על שמה ושימש כהון עצמי לצורך אישור משכנתא.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אינה מכחישה כי ידעה מהליך המכירה וסמכה על הנתבעת שתפעל ביושר ובתום לב.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צוין כי הדירה ברח' </w:t>
      </w:r>
      <w:r w:rsidR="00642BE8">
        <w:rPr>
          <w:rFonts w:ascii="David" w:hAnsi="David"/>
        </w:rPr>
        <w:t>Y</w:t>
      </w:r>
      <w:r w:rsidRPr="00E73741">
        <w:rPr>
          <w:rFonts w:ascii="David" w:hAnsi="David"/>
          <w:rtl/>
        </w:rPr>
        <w:t xml:space="preserve"> נמכרה בסכום של כ – 600,000 ₪, אשר הועברו לחשבון התובעת ולא לחשבון הנתבעת.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צוין כי בשנת 2017 נרכשה הדירה נשוא הליך זה ברח' </w:t>
      </w:r>
      <w:r w:rsidR="00642BE8">
        <w:rPr>
          <w:rFonts w:ascii="David" w:hAnsi="David"/>
        </w:rPr>
        <w:t>X</w:t>
      </w:r>
      <w:r w:rsidRPr="00E73741">
        <w:rPr>
          <w:rFonts w:ascii="David" w:hAnsi="David"/>
          <w:rtl/>
        </w:rPr>
        <w:t xml:space="preserve"> </w:t>
      </w:r>
      <w:r w:rsidR="00642BE8">
        <w:rPr>
          <w:rFonts w:ascii="David" w:hAnsi="David"/>
          <w:rtl/>
        </w:rPr>
        <w:t>ב*********</w:t>
      </w:r>
      <w:r w:rsidRPr="00E73741">
        <w:rPr>
          <w:rFonts w:ascii="David" w:hAnsi="David"/>
          <w:rtl/>
        </w:rPr>
        <w:t xml:space="preserve"> ולצורך הרכישה, השתמשה הנתבעת ב-600,000 ₪ אשר התקבלו ממכירת הדירה ברח' </w:t>
      </w:r>
      <w:r w:rsidR="00642BE8">
        <w:rPr>
          <w:rFonts w:ascii="David" w:hAnsi="David"/>
        </w:rPr>
        <w:t>Y</w:t>
      </w:r>
      <w:r w:rsidRPr="00E73741">
        <w:rPr>
          <w:rFonts w:ascii="David" w:hAnsi="David"/>
          <w:rtl/>
        </w:rPr>
        <w:t xml:space="preserve"> והשלימה את היתרה בסך 240,000 ₪ מכספי הלוואה שקיבלה.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מכאן יוצא למעשה כ- 71% מערך הדירה שולמו ממקורותיה ועל כן טוענת כי 71% מערך הדירה שייך לה.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lastRenderedPageBreak/>
        <w:t xml:space="preserve">התובעת טוענת בכתב התביעה כי האמינה בלב שלם בנתבעת וסברה כי במהלך רכישת הדירה ברח' </w:t>
      </w:r>
      <w:r w:rsidR="00642BE8">
        <w:rPr>
          <w:rFonts w:ascii="David" w:hAnsi="David"/>
        </w:rPr>
        <w:t>X</w:t>
      </w:r>
      <w:r w:rsidRPr="00E73741">
        <w:rPr>
          <w:rFonts w:ascii="David" w:hAnsi="David"/>
          <w:rtl/>
        </w:rPr>
        <w:t xml:space="preserve">, יצוין במסגרת הרישום חלקה בבית בהתאמה לסכום שהעבירה ושהיא הנתבעת פעלה בחוסר תום לב, ניצלה את אמונה ורשמה את הזכויות בדירה על שמה בלבד.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עוד ציינה התובעת כי עובר לכניסה לדירה ברח' </w:t>
      </w:r>
      <w:r w:rsidR="00642BE8">
        <w:rPr>
          <w:rFonts w:ascii="David" w:hAnsi="David"/>
        </w:rPr>
        <w:t>X</w:t>
      </w:r>
      <w:r w:rsidRPr="00E73741">
        <w:rPr>
          <w:rFonts w:ascii="David" w:hAnsi="David"/>
          <w:rtl/>
        </w:rPr>
        <w:t>, היא עצמה רכשה בכספה לבית הכולל מוצרי חשמל ומוצרים אחרים בסך כולל של 40,000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עוד טוענת התובעת כי שילמה חשבונות חשמל, ערכה קניות, בישלה וניקתה.</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בתחילת שנת 2020, עלו יחסי האם והבת על שרטון, וזאת לטענתה עקב הסתה ודהומניזציה שהפעילה הנתבעת על הנכדות, עד כדי כך שנותק כל קשר בין הנכדות לתובעת.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הנתבעת מונעת ממנה לחיות בכבוד בבית, כאשר אינה יכולה לבשל לעצמה או להניח דבר מה במקרר.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הנתבעת אסרה על הנכדות לדבר עם הסבתא, לסייע לה וכי מצאה את עצמה בכל ימות השבוע אוכלת בדד בחדרה כמצורעת, משכך מצאה עצמה משוטטת שעות במהלך היום בגנים ציבוריים, אצל חברות או בקניונים.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הנתבעת דרשה ממנה לעזוב את הבית ולחפש לה מקום מגורים אחר,  תוך שהיא מטיחה בה עלבונות ומשפילה אותה, וכי למרות האמור במטרה לשמר יחסי אם ובת, ניסתה התובעת להגיע להבנות אך תשובות הנתבעת גם באמצעות בא כוחה היו מנותקות מהמציאות.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הנתבעת בחרה להתגושש איתה כאילו היו זרות זו לזו והיא חשה מרומה ופגועה.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התובעת טוענת כי השאלה המרכזית בהליך מבחינה משפטית היא האם התובעת העניקה לנתבעת מתנה לאלתר, או האם יש בהתנהגות הצדדים טרם חתימת התובעת על התצהיר התחייבות ממנה רשאית התובעת לחזור.</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ב"כ התובעת טוען כי על הסכם המתנה חלה מערכת דינים כפולה. כך נטען כי כחוזה מתנה חלים עליו הדינים המיוחדים הקבועים בחוק המתנה ובנוסף חל עליו הדין הכללי בדיני החוזים בנושאים שלא הוסדרו ע"י חוק המתנה, כגון קשירת החוזה ובטלותו והזכות לבטלו.</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ב"כ התובעת טוען כי בין דינים אלה מצויה הדרישה היסודית כי תהיה לצדדים גמירות דעת להתקשר בהסכם וכי הכוונה אינה לרצון מופשט אלא להקשר בהסכם מוגדר, בתנאים מוגדרים, עם צד מסוים.</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lastRenderedPageBreak/>
        <w:t>ב"כ התובעת מבהיר כי אומנם בין הצדדים לא נערך ולא נחתם הסכם מתנה, ואולם לטענתו מהנסיבות וההתנהגות ניתן ללמוד כי התחייבות התובעת לתת את הבית במתנה הותנתה בין היתר בתנאי לפיו יתאפשר לתובעת זכות מגורים עם הנתבעת עד יומה האחרון, תוך שהיא מטפלת בה ומהווה לה בת טובה.</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התובעת טוענת כי אומנם לשון התצהיר שנחתם בין הצדדים אינו תומך בקיום תנאי המקורים, יחד עם זאת, הפסיקה מפנה לכך שניתן ללמוד על תנאי מפסיק מכללא לכיבוד הורים, לפיו מתנה מהורה לילדו ביחס לבית מגורים ניתנת מתוך הנחה שאותו ילד ילווה את הוריו לעת זקנה ויכבד אותם וככל שאותו ילד לא ינהג בהוריו בכבוד הראוי יהיו רשאים לבטל את מתנתם גם במקרה בו הושלמה המתנה. מכאן טוענת התובעת כי גם אם ייקבע כי מדובר במתנה לאלתר, רשאית התובעת לחזור בה.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עוד טוענת התובעת כי בנוסף לזכות החזרה מכוח תנאי מכללא, הרי שיש לה גם זכות חזרה מהמתנה בשל התנהגות מחפירה של מקבלת המתנה כלפיה. התובעת טוענת כי מעבר להתנהגות המחפירה כלפיה, מדובר גם בהפניית עורף לתובעת שגידלה את הנתבעת ודאגה למחסורה לאורך השנים, תוך פגיעה בזכות הבסיסית של התובעת למגורים, כאשר המשמעות המעשית היא פגיעה אנושה בתובעת, באופן שלא ניתן לקבל תוצאה זו ולכן יש להורות על שינוי הרישום או תשלום לאם שיאפשר לה להמשיך לחיות את שארית חייה בכבוד בסיסי.</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 xml:space="preserve">טעם נוסף שמציינת התובעת נעוץ ב"זעקת ההגינות", כאשר התובעת טוענת כי על פי הפסיקה, לרצון של מעניק המתנה ניתן משקל רב והתובעת מפנה לפסיקה במסגרתה אדם מעניק את רכושו היחיד והמהותי, את דירת המגורים, ובמקרה כזה, יש לעשות שימוש בכלל של "זעקת ההגינות" כאשר אם תדחה התביעה התובעת חשופה למצב שבו היא אינה יכולה להתגורר בדירה ולעת זיקנתה, עומדת בפני שוקת שבורה. </w:t>
      </w:r>
    </w:p>
    <w:p w:rsidR="00E73741" w:rsidRPr="00E73741" w:rsidRDefault="00E73741" w:rsidP="00E73741">
      <w:pPr>
        <w:pStyle w:val="ad"/>
        <w:numPr>
          <w:ilvl w:val="0"/>
          <w:numId w:val="9"/>
        </w:numPr>
        <w:spacing w:line="360" w:lineRule="auto"/>
        <w:jc w:val="both"/>
        <w:rPr>
          <w:rFonts w:ascii="David" w:hAnsi="David"/>
        </w:rPr>
      </w:pPr>
      <w:r w:rsidRPr="00E73741">
        <w:rPr>
          <w:rFonts w:ascii="David" w:hAnsi="David"/>
          <w:rtl/>
        </w:rPr>
        <w:t>התובעת טוענת כי גם במקורות הונחו יסודות, מכוחם יש לדאוג לה בעת זיקנתה וכי התובעת ביקשה את טוענת הנתבעת, העבירה לה את רכושה היחיד, קורת הגג שלה מתוך אהבה ואמונה כי תלווה אותה לעת זיקנה ותכבד אותה ונוכח המצב שנוצר, דינה של המתנה להתבטל, או לחילופין להורות כי יושבו לה כספי ההשקעה שלה בדירה, בהתאם לשווי הדירה נכון להיום.</w:t>
      </w:r>
    </w:p>
    <w:p w:rsidR="00E73741" w:rsidRPr="00E73741" w:rsidRDefault="00E73741" w:rsidP="00E73741">
      <w:pPr>
        <w:spacing w:line="360" w:lineRule="auto"/>
        <w:jc w:val="both"/>
        <w:rPr>
          <w:rFonts w:ascii="David" w:hAnsi="David"/>
          <w:b/>
          <w:bCs/>
          <w:sz w:val="26"/>
          <w:szCs w:val="26"/>
          <w:u w:val="single"/>
          <w:rtl/>
        </w:rPr>
      </w:pPr>
    </w:p>
    <w:p w:rsidR="00E73741" w:rsidRPr="00E73741" w:rsidRDefault="00E73741" w:rsidP="00E73741">
      <w:pPr>
        <w:spacing w:line="360" w:lineRule="auto"/>
        <w:jc w:val="both"/>
        <w:rPr>
          <w:rFonts w:ascii="David" w:hAnsi="David"/>
          <w:b/>
          <w:bCs/>
          <w:sz w:val="26"/>
          <w:szCs w:val="26"/>
          <w:u w:val="single"/>
        </w:rPr>
      </w:pPr>
      <w:r w:rsidRPr="00E73741">
        <w:rPr>
          <w:rFonts w:ascii="David" w:hAnsi="David"/>
          <w:b/>
          <w:bCs/>
          <w:sz w:val="26"/>
          <w:szCs w:val="26"/>
          <w:u w:val="single"/>
          <w:rtl/>
        </w:rPr>
        <w:lastRenderedPageBreak/>
        <w:t>טענות ההגנה</w:t>
      </w:r>
    </w:p>
    <w:p w:rsidR="00E73741" w:rsidRPr="00E73741" w:rsidRDefault="00E73741" w:rsidP="00E73741">
      <w:pPr>
        <w:pStyle w:val="ad"/>
        <w:numPr>
          <w:ilvl w:val="0"/>
          <w:numId w:val="8"/>
        </w:numPr>
        <w:spacing w:line="360" w:lineRule="auto"/>
        <w:jc w:val="both"/>
        <w:rPr>
          <w:rFonts w:ascii="David" w:hAnsi="David"/>
          <w:b/>
          <w:bCs/>
          <w:u w:val="single"/>
        </w:rPr>
      </w:pP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בפתח כתב ההגנה המתוקן מתייחסת לכך שגם אחרי תיקון התביעה נותרו טענות מקדמיות שיש להידרש אליהן כאשר גם בכתב התביעה המקורי היה חוסר של פרטים אשר התובעת הזכירה, כאשר גם בתביעה המתוקנת ממשיכה התובעת ומסתירה פרטים הידועים לה.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התביעה חסרת תום לב ודינה להידחות על הסף.</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מפנה לכך שכתב התביעה המקורי הכיל סעד לא רלוונטי ורק לאחר הערות מבית המשפט הוגש כתב תביעה מתוקן, שמאפשר את הדיון במסגרת תביעה לביטול מתנה שהושלמה וכי כתב התביעה שהוגש "מזגזג" בין מספר מסלולים משפטיים אפשריים עד כדי שינוי גרסה עובדתית, כאשר הנתבעת טוענת כי כתב התביעה המתוקן נוגד את הקונסטרוקציה המשפטית שהותרה ע"י בית המשפט לתיקון במסגרת ההחלטה מיום 10.11.2021, אשר התירה את הגשת התובענה המתוקנת וגם מטעם זה יש לדחות את התביעה על הסף או לגופה.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שהפרק שהוגדר בכתב התביעה במסגרת משפטית הותיר את התביעה מעורפלת ולמעשה, אין עילה קונקרטית שניתן ללמוד מהתביעה, כאשר בעוד עילת התביעה לכאורה היא ביטול עסקת מתנה שהושלמה, הרציונל בפסקי הדין אליהם הפנתה  התובעת מתייחס לנסיבות של מתנה שלא הושלמה.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הסעד העיקרי חורג מעילת התביעה שכן התובעת למעשה כלל אינה מבקשת את ביטול המתנה, אלא מבקשת צו עשה מרישום בעלות קניינית בנכס אחר, שכלל לא ניתן באותה מתנה, כלומר, התובעת דורשת סעד של שמירת זכויות קנייניות לטובתה בנכס אחר, שאיננו הנכס שניתן במתנה, זאת כאשר היא פונה למתן סעד שיורה לרשם המקרקעין לבצע רישום בעלות לטובתה בנכס מקרקעין אחר, שאיננו הנכס שניתן במתנה.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למעשה התובעת משווה טענות לסיכול חוזה ולא לביטול מתנה, כאשר מבחינתה סיכול החוזה משול להתמוטטות של השותפות שיצרו הצדדים ביניהם ומכאן יש לכאורה לבצע חלוקה מחדש, לרבות של הנזקים שנוצרו לצדדים. אלא שמנגד טוענת הנתבעת כי מצב של סיכול חוזה, </w:t>
      </w:r>
      <w:r w:rsidRPr="00E73741">
        <w:rPr>
          <w:rFonts w:ascii="David" w:hAnsi="David"/>
          <w:rtl/>
        </w:rPr>
        <w:lastRenderedPageBreak/>
        <w:t xml:space="preserve">מתקיים  רק כאשר אירוע בלתי צפוי משבש את ציפיותיהם מהחוזה, והתנאי הוא שהאירוע היה בלתי ניתן למניעה ע"י הצדדים וממילא ברור שאיש אינו אשם בו.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המאפיין את מצב הסיכול, הוא השוויון שבין הצדדים, הציפיה של האירוע המסכל ואי האפשרות למונעו. אך בענייננו טוענת הנתבעת כי לא בסיכול עסקינן ועל כן לא ניתן לטעון לחלוקה מחדש של רכוש חדש. מכאן טוענת הנתבעת כי גם אם סברה התובעת שברצונה לבטל את המתנה, היא נדרשת להביא ראשית ראיה לאפשרות לבטל את האמור והיא לא עושה זאת, אלא מעלה טענות מן הגורן ומן היקב, הן מחוק החוזים והן מחוק המתנה.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עוד טוענת הנתבעת כי לא ניתן לטעון כנגדה לאשם תורם, שכן אשם תורם הוא טענה הרלוונטית במקרים של הפרה חוזית המבוססת על ראיית החוזה כמכשיר כלכלי, המעודד הסתמכות מוחלטת של הצדדים עליו ותכנון עתידי, כמו בענייננו.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חוק המתנה כמו גם דיני החוזים אינם מכירים באפשרות ששני הצדדים אחראים במשותף לאותו נזק, אפשרות שהתוצאה שלה היא חלוקת האחריות בין הצדדים ע"י חלוקת נטל הנשיאה בנזק.</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בענייננו אין בפני בית המשפט עילה נזיקית ואנו לא עוסקים בדיני הנזיקין שעניינם בחלוקת האחריות בין הצדדים.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המתנה בה עסקינן היא חוזה חד צדדי, לא נוצרו בו חובות הדדיים של המתקשרים וביצוע החוזה לא היה תלוי או מותנה בביצוע ע"י הצד השני להתקשרות. יחד עם זאת, מציינת הנתבעת כי גם אם בית המשפט יסבור שמדובר בחוזה מתנה שבו קיים חיוב שהוטל על מקבל המתנה, עדיין עומדת לנותנת המתנה הזכות לפיצוי בגין ההפרה אך לא עומדת לה התרופה של ביטול המתנה עצמה, ולבטח לא עומדת לה תרופה של השבת המתנה או קבלת שוויה בכסף, או פירוק שיתוף בנכס שאינו שלה, שאלו למעשה הסעדים להם עותרת התובעת.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מפנה לסעיף 4 לחוק המתנה, בו קיימת הוראה הקובעת כי נותן מתנה רשאי לתת מתנה המותנת בתנאי, או שנגבה חיוב לצדה.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ב"כ הנתבעת טוען כי הוראת החוק עושה אבחנה בין שני מקרים, בין מקרה של מתנה על תנאי שאז אי התקיימות התנאי יכול ויפגע בתוקף המתנה לעומת מקרה של מתנה וחיוב לצדה, שאז גם אם הופר החיוב, אי הקיום אינו פוגם בתוקף המתנה.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lastRenderedPageBreak/>
        <w:t>הנתבעת טוענת כי מתנה בחיוב קיימת במצב בו החוזה בין הצדדים איננו הדדי אלא חד צדדי, כאשר צד אחד נותן והאחר מקבל, תוך שהוא מקבל על עצמו חיוב כלפי הנותן, אלא שחיוב זה אינו מהווה תמורה למתנה. הנתבעת טוענת כי מתנה זו גם אם חיוב בצדה, מכונה גם כ-"</w:t>
      </w:r>
      <w:r w:rsidRPr="00E73741">
        <w:rPr>
          <w:rFonts w:ascii="David" w:hAnsi="David"/>
          <w:b/>
          <w:bCs/>
          <w:rtl/>
        </w:rPr>
        <w:t>מתנה בנטל</w:t>
      </w:r>
      <w:r w:rsidRPr="00E73741">
        <w:rPr>
          <w:rFonts w:ascii="David" w:hAnsi="David"/>
          <w:rtl/>
        </w:rPr>
        <w:t>".</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ביחס להענקה מסוג זה גם אם מקבל המתנה הפר חיוב הרי הוא מפר את החיוב החוזי ולכאורה בידי נותן המתנה תרופות הקיימות בסעיפים 32-29 לחוק החוזים.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רק לו נפל פגם בכריתת חוזה המתנה, אז יחולו הוראות חוק החוזים שעל פיהן יש שהחוזה בטל ויש שהחוזה ניתן לביטול אך השאלה האם בנוסף רשאי נותן המתנה לבטל את חוזה המתנה עצמו, כאשר טוען ב"כ הנתבעת כי בכל מקרה על פי הפסיקה, נותן המתנה אינו רשאי לבטל את המתנה רק משום שהחיוב הצמוד לה הופר,  שכן החיוב עומד ברשות עצמו ואינו קשור עם עסקת המתנה עצמה, כאשר זו הושלמה ולא נפל בה כל פגם.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בענייננו טוענת הנתבעת כי לכל היותר החיוב הנטען ע"י התובעת הוא מגורים משותפים וגם אם נניח שהוטל חיוב מסוג זה, לא ברור הקשר בין החיוב הנ"ל לכאורה וביטולו לבין הסעדים הנדרשים בתובענה.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התובעת למעשה אינה מעלה טענות כנגד תוקף המתנה ואינה טוענת כי המתנה מבוטלת בשל העדר התנאי הנטען. נטען כי התובעת מציינת כי ציפתה שהנתבעת תקיים את התחייבותה הנטענת, אך מאשרת כי לא התנתה את מתן המתנה באותו תנאי.</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משמעות הדברים שאי קיום החיוב אינו מקנה לתובעת זכות לביטול המתנה.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נטען בכתב ההגנה לכתב התביעה המתוקן כי במסגרת עילות התביעה טוענת התובעת לקיומו של תנאי לא רשום בדבר זכות למגורים אלא שהתובעת כלל לא עוסקת בתביעתה בשאלת מימוש התנאי כבסיס לביטול המתנה אלא מעלה דרישה כלכלית לאחוזים בנכס ולהחזר כספי של השקעה.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גם אם נניח כי הותנה תנאי של אפשרות מגורים בנכס, הרי שבמועד הגשת כתב התביעה הראשונה ובמועדי קדמי המשפט הראשונים וגם נכון למועד הגשת כתב התביעה השני התקיים אותו תנאי לא רשום, שכן התובעת התגוררה באותה עת יחד עם הנתבעת בדירה. אומנם העלתה טענות כנגד הנתבעת, וככל הנראה טיב המגורים לא מצא חן בעיניה, אך עדיין גם לפי שיטתה, מבהירה הנתבעת, התנאי של מגורי הצדדים יחד, התקיים במועד הגשת כתב התביעה הראשוני, קדמי המשפט הראשונים והגשת כתב התביעה המתוקן.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נראה שלמעשה מדובר היה בשאלה של כדאיות עסקה מצדה של התובעת.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עוד טוענת הנתבעת כי למעשה היתה זו התובעת שרצתה לשנות את התנאי להפסיק את המגורים המשותפים באופן שיקנה לה לכאורה אפשרות לדרוש סעד בדמות ביטול מתנה או ביטול חוזה והעלאת דרישה כספית תוך טענה כי החוזה סוכל.</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טוענת כי אכן אינה מכחישה שהתגוררה בבית הוריה עד לתום שירותה הצבאי. לאחר סיום שירותה בצה"ל נישאה לבן זוגה דאז, ויחד איתו היתה אמורה להתגורר בבית הוריו שם חיו עד שנת 1997 שם גם נולדו שלושת ילדיה הראשונים של הנתבעת, ולאחר מכן בשנת 1997 עברה הנתבעת יחד עם בעלה דאז להתגורר בדירה אשר רכשה מכספם המשותף של בני הזוג, ברח' </w:t>
      </w:r>
      <w:r w:rsidR="00642BE8">
        <w:rPr>
          <w:rFonts w:ascii="David" w:hAnsi="David" w:hint="cs"/>
        </w:rPr>
        <w:t>M</w:t>
      </w:r>
      <w:r w:rsidR="00642BE8">
        <w:rPr>
          <w:rFonts w:ascii="David" w:hAnsi="David" w:hint="cs"/>
          <w:rtl/>
        </w:rPr>
        <w:t xml:space="preserve"> </w:t>
      </w:r>
      <w:r w:rsidR="00642BE8">
        <w:rPr>
          <w:rFonts w:ascii="David" w:hAnsi="David"/>
          <w:rtl/>
        </w:rPr>
        <w:t>ב*********</w:t>
      </w:r>
      <w:r w:rsidRPr="00E73741">
        <w:rPr>
          <w:rFonts w:ascii="David" w:hAnsi="David"/>
          <w:rtl/>
        </w:rPr>
        <w:t xml:space="preserve"> וכל אותה עת, התובעת ואביה המנוח של הנתבעת התגוררו בדירת עמידר ברח' </w:t>
      </w:r>
      <w:r w:rsidR="00642BE8">
        <w:rPr>
          <w:rFonts w:ascii="David" w:hAnsi="David"/>
        </w:rPr>
        <w:t>Y</w:t>
      </w:r>
      <w:r w:rsidRPr="00E73741">
        <w:rPr>
          <w:rFonts w:ascii="David" w:hAnsi="David"/>
          <w:rtl/>
        </w:rPr>
        <w:t xml:space="preserve"> </w:t>
      </w:r>
      <w:r w:rsidR="00642BE8">
        <w:rPr>
          <w:rFonts w:ascii="David" w:hAnsi="David"/>
          <w:rtl/>
        </w:rPr>
        <w:t>ב*********</w:t>
      </w:r>
      <w:r w:rsidRPr="00E73741">
        <w:rPr>
          <w:rFonts w:ascii="David" w:hAnsi="David"/>
          <w:rtl/>
        </w:rPr>
        <w:t xml:space="preserve"> והנתבעת כלל לא גרה איתם.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בכל אותה תקופה  משנת 1997 עד 2009 עבדה בעבודות שונות וכי בשנת 2009 אביה, בעלה של התובעת, חלה בסרטן ונדרש לטיפול צמוד ושוטף אשר התובעת לא יכלה לבצע לבדה, שכן עבדה באותה עת ומידי יום בעבודות ניקיון בבית ספר </w:t>
      </w:r>
      <w:r w:rsidR="00642BE8">
        <w:rPr>
          <w:rFonts w:ascii="David" w:hAnsi="David"/>
          <w:rtl/>
        </w:rPr>
        <w:t>ב*********</w:t>
      </w:r>
      <w:r w:rsidRPr="00E73741">
        <w:rPr>
          <w:rFonts w:ascii="David" w:hAnsi="David"/>
          <w:rtl/>
        </w:rPr>
        <w:t xml:space="preserve">.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מתארת כי כפועל יוצא מכך שאמה התובעת לא היתה פנויה לטפל באב המנוח, הפחיתה היא עצמה את היקף משרתה בעבודתה דאז, והתייצבה מידי יום ביומו בבית הוריה, לצורך טיפול באביה החולה אשר במהרה הפך להיות סיעודי.</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למעשה יום יום היתה מסיימת את עבודתה בשעה 13:00, עוברת בבית הוריה לטפל באביה החולה וזאת בנוסף לימים שבהם נטלה חופש מעבודה והיתה מסייעת ומטפלת בו בבקרים ואף מחליפה את התובעת בעבודות הניקיון בבית הספר בו עבדה </w:t>
      </w:r>
      <w:r w:rsidR="00642BE8">
        <w:rPr>
          <w:rFonts w:ascii="David" w:hAnsi="David"/>
          <w:rtl/>
        </w:rPr>
        <w:t>ב*********</w:t>
      </w:r>
      <w:r w:rsidRPr="00E73741">
        <w:rPr>
          <w:rFonts w:ascii="David" w:hAnsi="David"/>
          <w:rtl/>
        </w:rPr>
        <w:t>.</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מדובר היה בטיפול יומיומי לרבות סיוע בעבודות הבית של הוריה כאשר בתקופה זו גם לנה בבית הוריה מפעם לפעם, בשל היקף הסיוע להורים.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גם בעלה דאז סייע בידה לסעוד את אביה המנוח, וזאת במיוחד בימים שבהם הנתבעת נאלצה להיות בעבודה בבקרים והתובעת אף היא עבדה ולכן לא נכחה בבקרים.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מציינת כי באותה תקופה גם בעלה דאז יכול היה לסייע שכן עבד בעצמו ככח עזר רפואי במרכז לבריאות הנפש </w:t>
      </w:r>
      <w:r w:rsidR="00642BE8">
        <w:rPr>
          <w:rFonts w:ascii="David" w:hAnsi="David"/>
          <w:rtl/>
        </w:rPr>
        <w:t>ב*********</w:t>
      </w:r>
      <w:r w:rsidRPr="00E73741">
        <w:rPr>
          <w:rFonts w:ascii="David" w:hAnsi="David"/>
          <w:rtl/>
        </w:rPr>
        <w:t xml:space="preserve">, ופעולת הסיעוד, למשל סיוע ברחצה היו פעולות שהוא ביצע יחד עם הנתבעת לטובת האב המנוח.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מסירותה לשני הוריה הן לאביה החולה והן לתובעת עצמה גרמה לקרע עם בעלה תוך שהיא מודיעה לו שראשית לכל היא מחויבת להוריה.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מציינת כי ביום 22.3.2009 נפטר אביה ממחלת הסרטן ולאחר מותו, נזקקה  התובעת לסיוע, כאשר נותרה לבדה. </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מציינת כי לצערה שאר אחיה לא סייעו לה בטיפול בתובעת, כאשר אח אחד </w:t>
      </w:r>
      <w:r w:rsidR="00642BE8">
        <w:rPr>
          <w:rFonts w:ascii="David" w:hAnsi="David" w:hint="cs"/>
          <w:rtl/>
        </w:rPr>
        <w:t>****</w:t>
      </w:r>
      <w:r w:rsidRPr="00E73741">
        <w:rPr>
          <w:rFonts w:ascii="David" w:hAnsi="David"/>
          <w:rtl/>
        </w:rPr>
        <w:t xml:space="preserve">, האחרים עובדי </w:t>
      </w:r>
      <w:r w:rsidR="00642BE8">
        <w:rPr>
          <w:rFonts w:ascii="David" w:hAnsi="David" w:hint="cs"/>
          <w:rtl/>
        </w:rPr>
        <w:t>****</w:t>
      </w:r>
      <w:r w:rsidRPr="00E73741">
        <w:rPr>
          <w:rFonts w:ascii="David" w:hAnsi="David"/>
          <w:rtl/>
        </w:rPr>
        <w:t>, והאחות עסוקה בעבודתה בגן ילדים עירוני ולמעשה מעת השבעה על אביה המנוח, ברוב ימות השנה, הנתבעת התגוררה עם התובעת על מנת לעזור לה תוך שהיא נוטשת את הזוגיות שלה עצמה.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מתארת כי במהלך 10 שנים אחרונות עד להגשת התביעה,  אחיה ניתקו כל קשר עם התובעת, למעט שיחות בודדות, כאשר שתיהן לא הוזמנו לאירועים משפחתיים של בני המשפחה ולא היו מעורבות, כאשר האחים ניתקו איתן כל קשר הן מהנתבעת והן מהתובעת.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לאורך כל אותה תקופה טיפלה בתובעת בצורה מסורה ואף דאגה ממקורותיה לשלם את כל הוצאות אחזקת הבית, כאשר אפילו חלק מהחשבונות היו על שמה של הנתבעת למעט תקופה קצרה בה התובעת שילמה את חשבונות החשמל ומעת לעת ערכה קניות אצל הקצב, ואולם את כל יתר ההוצאות שילמה הנתבעת.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למעשה בחייה האישים נוצר מצב שהיא מטפלת באמה באופן יומיומי נטשה את בעלה אשר המשיך להתגורר בדירתם המשותפת ומפעם לפעם היתה מגיעה לבצע מטלות משפחתיות בדירת המשותפת בה גר בעלה דאז ואולם בפועל, לא מקיימת איתו  כל חיים זוגיים שכן עשתה בחירה להמשיך ולטפל באמה, התובעת באופן יומיומי.</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מציינת כי לימים היא ובעלה מכרו את הנכס שהיה בבעלותם ברח' </w:t>
      </w:r>
      <w:r w:rsidR="00642BE8">
        <w:rPr>
          <w:rFonts w:ascii="David" w:hAnsi="David" w:hint="cs"/>
          <w:rtl/>
        </w:rPr>
        <w:t>****</w:t>
      </w:r>
      <w:r w:rsidR="00642BE8">
        <w:rPr>
          <w:rFonts w:ascii="David" w:hAnsi="David"/>
          <w:rtl/>
        </w:rPr>
        <w:t>ב*********</w:t>
      </w:r>
      <w:r w:rsidRPr="00E73741">
        <w:rPr>
          <w:rFonts w:ascii="David" w:hAnsi="David"/>
          <w:rtl/>
        </w:rPr>
        <w:t>, שכרו דירה אחרת, כאשר למעשה היא נשאה מכח המחויבות הזוגיות בנטל תשלום השכירות יחד עם בעלה, אך בפועל לא חזרה לישון איתו אפילו ללילה אחד תוך שהיא ממשיכה ומטפלת אך ורק באמה.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מאשרת כי מספר חודשים לאחר פטירת אביה המנוח ניתן צו ירושה לרכוש האב,  כאשר למעט אחיה העובד כשוטר, כל היתר חתמו על צווי הסתלקות לטובת האם, ונוכח סירובו לחתום, עירבה התובעת את עו"ד </w:t>
      </w:r>
      <w:r w:rsidR="00642BE8">
        <w:rPr>
          <w:rFonts w:ascii="David" w:hAnsi="David"/>
          <w:rtl/>
        </w:rPr>
        <w:t>א'</w:t>
      </w:r>
      <w:r w:rsidRPr="00E73741">
        <w:rPr>
          <w:rFonts w:ascii="David" w:hAnsi="David"/>
          <w:rtl/>
        </w:rPr>
        <w:t xml:space="preserve"> אשר הצליח לשכנע את אותו אח לחתום גם הוא על תצהיר הסתלקות וניתן צו ירושה לטובת התובעת.</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מאשרת כי בשלהי חודש נובמבר 2009 התובעת מכרה את הנכס ברח' </w:t>
      </w:r>
      <w:r w:rsidR="00642BE8">
        <w:rPr>
          <w:rFonts w:ascii="David" w:hAnsi="David"/>
        </w:rPr>
        <w:t>Y</w:t>
      </w:r>
      <w:r w:rsidRPr="00E73741">
        <w:rPr>
          <w:rFonts w:ascii="David" w:hAnsi="David"/>
          <w:rtl/>
        </w:rPr>
        <w:t xml:space="preserve"> </w:t>
      </w:r>
      <w:r w:rsidR="00642BE8">
        <w:rPr>
          <w:rFonts w:ascii="David" w:hAnsi="David"/>
          <w:rtl/>
        </w:rPr>
        <w:t>ב*********</w:t>
      </w:r>
      <w:r w:rsidRPr="00E73741">
        <w:rPr>
          <w:rFonts w:ascii="David" w:hAnsi="David"/>
          <w:rtl/>
        </w:rPr>
        <w:t xml:space="preserve"> למשפחת </w:t>
      </w:r>
      <w:r w:rsidR="00642BE8">
        <w:rPr>
          <w:rFonts w:ascii="David" w:hAnsi="David" w:hint="cs"/>
          <w:rtl/>
        </w:rPr>
        <w:t>***</w:t>
      </w:r>
      <w:r w:rsidRPr="00E73741">
        <w:rPr>
          <w:rFonts w:ascii="David" w:hAnsi="David"/>
          <w:rtl/>
        </w:rPr>
        <w:t xml:space="preserve">, אך לא ידוע לה כי נערך כל ניסיון לרכוש נכס אחר. התובעת חתמה על הסכם שכולל פינוי של נכס המגורים ברח' </w:t>
      </w:r>
      <w:r w:rsidR="00642BE8">
        <w:rPr>
          <w:rFonts w:ascii="David" w:hAnsi="David"/>
        </w:rPr>
        <w:t>Y</w:t>
      </w:r>
      <w:r w:rsidRPr="00E73741">
        <w:rPr>
          <w:rFonts w:ascii="David" w:hAnsi="David"/>
          <w:rtl/>
        </w:rPr>
        <w:t xml:space="preserve"> לא יאוחר מחודש אפריל 2010 מבלי שהיה לה נכס חלופי אחר להתגורר בו, ומבלי שפנתה לחפש נכס לרכישה או להשכרה. הנתבעת טוענת כי ידוע לה שבמעמד החתימה הקונים שילמו לידי ב"כ התובעת סך של 40,000 ₪ שהועברו אליה וכן כי היתה אמורה לקבל </w:t>
      </w:r>
      <w:r w:rsidR="00642BE8">
        <w:rPr>
          <w:rFonts w:ascii="David" w:hAnsi="David"/>
          <w:rtl/>
        </w:rPr>
        <w:t xml:space="preserve">מהקונים סכום נוסף של 150,000 </w:t>
      </w:r>
      <w:r w:rsidR="00642BE8">
        <w:rPr>
          <w:rFonts w:ascii="David" w:hAnsi="David" w:hint="cs"/>
          <w:rtl/>
        </w:rPr>
        <w:t xml:space="preserve">₪ </w:t>
      </w:r>
      <w:r w:rsidRPr="00E73741">
        <w:rPr>
          <w:rFonts w:ascii="David" w:hAnsi="David"/>
          <w:rtl/>
        </w:rPr>
        <w:t xml:space="preserve"> לא יאוחר מים 20/02/2010 ויתרה אחרונה בסך 150,000 ₪ ביום מסירת הנכס ביום 30/04/2010.</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כל הכסף הנ"ל עבר לידי התובעת ויכולה היתה לעשות ברכושה כרצונה כפי שאכן עשתה, וקיבלה כספים לידיה ללא כל קשר לנתבעת.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אם באמת חפצה התובעת לרכוש נכס במשותף עם הנתבעת הרי שהכספים היו בידיה אך בפועל לא ביקשה לעשות זאת ולא היתה כל כוונה לרכישת נכס משותף לא עם הנתבעת ולא עם בעלה דאז של הנתבעת.</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מציינת כי אכן מכירת הנכס למשפחת </w:t>
      </w:r>
      <w:r w:rsidR="00642BE8">
        <w:rPr>
          <w:rFonts w:ascii="David" w:hAnsi="David" w:hint="cs"/>
          <w:rtl/>
        </w:rPr>
        <w:t>***</w:t>
      </w:r>
      <w:r w:rsidRPr="00E73741">
        <w:rPr>
          <w:rFonts w:ascii="David" w:hAnsi="David"/>
          <w:rtl/>
        </w:rPr>
        <w:t xml:space="preserve"> בוטלה בדיעבד ע"י הקונים כחודש לפני המסירה מסיבות שלהם והתובעת נאלצה להחזיר את הכספים שהתקבלו בידיה לבא כוחה. שנה לאחר ביטול אותה עסקת מכירה, לא היתה על הפרק שום עסקה נוספת תוך שהנתבעת ממשיכה לטפל בצורה מסורה בתובעת וגם משלמת את כל ההוצאות השוטפות הנוגעות להחזקת דירת מגורי התובעת.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 xml:space="preserve">הנתבעת טוענת כי בשנת 2011 כשנתיים לאחר מות אביה המנוח, הודיעה לה התובעת מיוזמתה לאחר מעשה כי ערכה צוואה אצל עו"ד רסיוק ובה קבעה כי הנתבעת היורשת היחידה של רכושה. לא זו בלבד שעדכנה אותה באמור אלא גם הפקידה בידיה עותק של הצוואה.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הנתבעת מבהירה כי אינה מכירה את עו"ד רסיוק, מעולם לא נתקלה בו לא היתה קשורה בשום דרך לפניה אליו והנתבעת לא ידעה על עריכת הצוואה  עד ליום בו התובעת הפקידה עותק בידה תוך שהיא מבהירה כי עשתה זאת נוכח התמיכה הטוטאלית והכספית של הנתבעת בתובעת, תמיכה שלימים עלתה לנתבעת בסיום נישואיה.</w:t>
      </w:r>
    </w:p>
    <w:p w:rsidR="00E73741" w:rsidRPr="00E73741" w:rsidRDefault="00E73741" w:rsidP="00642BE8">
      <w:pPr>
        <w:pStyle w:val="ad"/>
        <w:numPr>
          <w:ilvl w:val="0"/>
          <w:numId w:val="10"/>
        </w:numPr>
        <w:spacing w:line="360" w:lineRule="auto"/>
        <w:jc w:val="both"/>
        <w:rPr>
          <w:rFonts w:ascii="David" w:hAnsi="David"/>
          <w:rtl/>
        </w:rPr>
      </w:pPr>
      <w:r w:rsidRPr="00E73741">
        <w:rPr>
          <w:rFonts w:ascii="David" w:hAnsi="David"/>
          <w:rtl/>
        </w:rPr>
        <w:t xml:space="preserve">הנתבעת מציינת כי שנה לאחר מכן בשנת 2012 פנתה התובעת לנתבעת וביקשה ממנה ללוות אותה למשרדו של עו"ד </w:t>
      </w:r>
      <w:r w:rsidR="00642BE8">
        <w:rPr>
          <w:rFonts w:ascii="David" w:hAnsi="David"/>
          <w:rtl/>
        </w:rPr>
        <w:t>א'</w:t>
      </w:r>
      <w:r w:rsidRPr="00E73741">
        <w:rPr>
          <w:rFonts w:ascii="David" w:hAnsi="David"/>
          <w:rtl/>
        </w:rPr>
        <w:t xml:space="preserve"> אותו מכר משפחה אשר התערב בשעתו לטובת שכנוע האח בענין הסתלקות מירושת האב לטובת האם, השתיים ניגשו למשרדו של עו"ד </w:t>
      </w:r>
      <w:r w:rsidR="00642BE8">
        <w:rPr>
          <w:rFonts w:ascii="David" w:hAnsi="David" w:hint="cs"/>
          <w:rtl/>
        </w:rPr>
        <w:t>א'</w:t>
      </w:r>
      <w:r w:rsidRPr="00E73741">
        <w:rPr>
          <w:rFonts w:ascii="David" w:hAnsi="David"/>
          <w:rtl/>
        </w:rPr>
        <w:t xml:space="preserve"> שם פגשו את רעיתו גב' </w:t>
      </w:r>
      <w:r w:rsidR="00642BE8">
        <w:rPr>
          <w:rFonts w:ascii="David" w:hAnsi="David"/>
          <w:rtl/>
        </w:rPr>
        <w:t>י'</w:t>
      </w:r>
      <w:r w:rsidRPr="00E73741">
        <w:rPr>
          <w:rFonts w:ascii="David" w:hAnsi="David"/>
          <w:rtl/>
        </w:rPr>
        <w:t xml:space="preserve">.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 xml:space="preserve">הנתבעת מציינת כי בן משפחתה של </w:t>
      </w:r>
      <w:r w:rsidR="00642BE8">
        <w:rPr>
          <w:rFonts w:ascii="David" w:hAnsi="David"/>
          <w:rtl/>
        </w:rPr>
        <w:t>י'</w:t>
      </w:r>
      <w:r w:rsidRPr="00E73741">
        <w:rPr>
          <w:rFonts w:ascii="David" w:hAnsi="David"/>
          <w:rtl/>
        </w:rPr>
        <w:t xml:space="preserve"> למשפחת התובעת מתקיים קשר רב שנים שכן המשפחות התגוררו בשכנות צמודה במשך 40 שנה.</w:t>
      </w:r>
    </w:p>
    <w:p w:rsidR="00E73741" w:rsidRPr="00E73741" w:rsidRDefault="00E73741" w:rsidP="00642BE8">
      <w:pPr>
        <w:pStyle w:val="ad"/>
        <w:numPr>
          <w:ilvl w:val="0"/>
          <w:numId w:val="10"/>
        </w:numPr>
        <w:spacing w:line="360" w:lineRule="auto"/>
        <w:jc w:val="both"/>
        <w:rPr>
          <w:rFonts w:ascii="David" w:hAnsi="David"/>
          <w:rtl/>
        </w:rPr>
      </w:pPr>
      <w:r w:rsidRPr="00E73741">
        <w:rPr>
          <w:rFonts w:ascii="David" w:hAnsi="David"/>
          <w:rtl/>
        </w:rPr>
        <w:t xml:space="preserve">הנתבעת מצינת כי באותו מעמד של פגישה במשרדו של עו"ד </w:t>
      </w:r>
      <w:r w:rsidR="00642BE8">
        <w:rPr>
          <w:rFonts w:ascii="David" w:hAnsi="David" w:hint="cs"/>
          <w:rtl/>
        </w:rPr>
        <w:t>א'</w:t>
      </w:r>
      <w:r w:rsidRPr="00E73741">
        <w:rPr>
          <w:rFonts w:ascii="David" w:hAnsi="David"/>
          <w:rtl/>
        </w:rPr>
        <w:t xml:space="preserve"> היא התוודעה לרצון התובעת להעניק לה במתנה וללא תמורה כבר באותה עת את הבעלות על הנכס ברח' </w:t>
      </w:r>
      <w:r w:rsidR="00642BE8">
        <w:rPr>
          <w:rFonts w:ascii="David" w:hAnsi="David"/>
        </w:rPr>
        <w:t>Y</w:t>
      </w:r>
      <w:r w:rsidRPr="00E73741">
        <w:rPr>
          <w:rFonts w:ascii="David" w:hAnsi="David"/>
          <w:rtl/>
        </w:rPr>
        <w:t xml:space="preserve"> </w:t>
      </w:r>
      <w:r w:rsidR="00642BE8">
        <w:rPr>
          <w:rFonts w:ascii="David" w:hAnsi="David"/>
          <w:rtl/>
        </w:rPr>
        <w:t>ב*********</w:t>
      </w:r>
      <w:r w:rsidRPr="00E73741">
        <w:rPr>
          <w:rFonts w:ascii="David" w:hAnsi="David"/>
          <w:rtl/>
        </w:rPr>
        <w:t xml:space="preserve">. נאמר לנתבעת שזהו רצונה של התובעת  הסופי והמוגמר מבלי לגרוע ממשמעות הצוואה שהתובעת ערכה, אשר אף היא היתה לטובת הנתבעת וכללה גם את אותה דירה, וגם התייחסות לרכוש נוסף, כספים ותכשיטים.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 xml:space="preserve">הנתבעת מבהירה כי התובעת לא התנתה תנאים, לא התנתה לוח זמנים, לא התנתה מה היא רוצה בנכס לאחר מתן המתנה, ולא קשרה את הנכס לעסקה עתידית אחרת. </w:t>
      </w:r>
    </w:p>
    <w:p w:rsidR="00E73741" w:rsidRPr="00E73741" w:rsidRDefault="00E73741" w:rsidP="00642BE8">
      <w:pPr>
        <w:pStyle w:val="ad"/>
        <w:numPr>
          <w:ilvl w:val="0"/>
          <w:numId w:val="10"/>
        </w:numPr>
        <w:spacing w:line="360" w:lineRule="auto"/>
        <w:jc w:val="both"/>
        <w:rPr>
          <w:rFonts w:ascii="David" w:hAnsi="David"/>
          <w:rtl/>
        </w:rPr>
      </w:pPr>
      <w:r w:rsidRPr="00E73741">
        <w:rPr>
          <w:rFonts w:ascii="David" w:hAnsi="David"/>
          <w:rtl/>
        </w:rPr>
        <w:t xml:space="preserve">הנתבעת טוענת כי הדברים נאמרו לנתבעת לא רק ע"י התובעת אלא גם ע"י הגב' </w:t>
      </w:r>
      <w:r w:rsidR="00642BE8">
        <w:rPr>
          <w:rFonts w:ascii="David" w:hAnsi="David"/>
          <w:rtl/>
        </w:rPr>
        <w:t>י'</w:t>
      </w:r>
      <w:r w:rsidRPr="00E73741">
        <w:rPr>
          <w:rFonts w:ascii="David" w:hAnsi="David"/>
          <w:rtl/>
        </w:rPr>
        <w:t xml:space="preserve">, שנכחה במקום וציינה באזני הנתבעת כי היא בעצמה הציעה לתובעת לתת לנתבעת את הדירה במתנה עוד באותה עת. באותה שיחה, הסתבר לנתבעת כי במשך שנים התובעת סיפרה לגב' </w:t>
      </w:r>
      <w:r w:rsidR="00642BE8">
        <w:rPr>
          <w:rFonts w:ascii="David" w:hAnsi="David"/>
          <w:rtl/>
        </w:rPr>
        <w:t>י'</w:t>
      </w:r>
      <w:r w:rsidRPr="00E73741">
        <w:rPr>
          <w:rFonts w:ascii="David" w:hAnsi="David"/>
          <w:rtl/>
        </w:rPr>
        <w:t xml:space="preserve"> כי אף אחד מילדיה לא מטפל בה, מלבד הנתבעת, היא מודעת לכך שילדיה ניתקו עמה קשר וכי גם השיחות המעטות שעשו איתה היו בשל לחצים שהנתבעת הפעילה עליהם להיות בקשר עם התובעת בעוד שהיא עצמה סבלה מניתוק מסוים מאחיה. עוד התברר לנתבעת באותה הפגישה כי גב' </w:t>
      </w:r>
      <w:r w:rsidR="00642BE8">
        <w:rPr>
          <w:rFonts w:ascii="David" w:hAnsi="David" w:hint="cs"/>
          <w:rtl/>
        </w:rPr>
        <w:t>י'</w:t>
      </w:r>
      <w:r w:rsidRPr="00E73741">
        <w:rPr>
          <w:rFonts w:ascii="David" w:hAnsi="David"/>
          <w:rtl/>
        </w:rPr>
        <w:t xml:space="preserve"> היתה מודעת לכך שלמעשה היא הנתבעת היתה הגורם שסייעה לאמה בכל דבר לרבות תשלומים שוטפים.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למעשה רק בתחילת שנת 2020 היוודע לה שאחיה העובד כשוטר חידש קשר עם התובעת והיא אף התארחה בביתו למספר ימים והפלא ופלא לאחר אותו ביקור, פתאום עלתה דרישה לשנות את מארג היחסים המשפחתי כמפורט בכתב התביעה.</w:t>
      </w:r>
    </w:p>
    <w:p w:rsidR="00E73741" w:rsidRPr="00E73741" w:rsidRDefault="00E73741" w:rsidP="00642BE8">
      <w:pPr>
        <w:pStyle w:val="ad"/>
        <w:numPr>
          <w:ilvl w:val="0"/>
          <w:numId w:val="10"/>
        </w:numPr>
        <w:spacing w:line="360" w:lineRule="auto"/>
        <w:jc w:val="both"/>
        <w:rPr>
          <w:rFonts w:ascii="David" w:hAnsi="David"/>
          <w:rtl/>
        </w:rPr>
      </w:pPr>
      <w:r w:rsidRPr="00E73741">
        <w:rPr>
          <w:rFonts w:ascii="David" w:hAnsi="David"/>
          <w:rtl/>
        </w:rPr>
        <w:t xml:space="preserve">הנתבעת מציינת כי עו"ד </w:t>
      </w:r>
      <w:r w:rsidR="00642BE8">
        <w:rPr>
          <w:rFonts w:ascii="David" w:hAnsi="David" w:hint="cs"/>
          <w:rtl/>
        </w:rPr>
        <w:t>א'</w:t>
      </w:r>
      <w:r w:rsidRPr="00E73741">
        <w:rPr>
          <w:rFonts w:ascii="David" w:hAnsi="David"/>
          <w:rtl/>
        </w:rPr>
        <w:t xml:space="preserve"> שכאמור ניסח את התצהירים ונכח בפגישה היה כבן משפחה של התובעת ומכר שלה שנים רבות וזו שילמה לו שכר טרחה על כל פעולותיו בענין המתנה כולל ביצוע העברת הזכויות, כאשר כל הרעיון והביצוע היו של התובעת בלבד.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 xml:space="preserve">הנתבעת מדגישה כי השלמת המתנה, לרבות רישום הבעלות על שם הנתבעת נעשה שנים לפני רכישת הנכס שאליו מתייחסת התובעת במסגרת רשימת הסעדים המפורטים בתביעה. </w:t>
      </w:r>
    </w:p>
    <w:p w:rsidR="00E73741" w:rsidRPr="00E73741" w:rsidRDefault="00E73741" w:rsidP="00642BE8">
      <w:pPr>
        <w:pStyle w:val="ad"/>
        <w:numPr>
          <w:ilvl w:val="0"/>
          <w:numId w:val="10"/>
        </w:numPr>
        <w:spacing w:line="360" w:lineRule="auto"/>
        <w:jc w:val="both"/>
        <w:rPr>
          <w:rFonts w:ascii="David" w:hAnsi="David"/>
          <w:rtl/>
        </w:rPr>
      </w:pPr>
      <w:r w:rsidRPr="00E73741">
        <w:rPr>
          <w:rFonts w:ascii="David" w:hAnsi="David"/>
          <w:rtl/>
        </w:rPr>
        <w:t xml:space="preserve">הנתבעת מכחישה כל אפשרות שההעברה במתנה נעשתה בשל רצון לכאורה של הנתבעת ליטול משכנתא, שכן ברור שבמקרה כזה לו הדבר היה מדובר בין הצדדים עו"ד </w:t>
      </w:r>
      <w:r w:rsidR="00642BE8">
        <w:rPr>
          <w:rFonts w:ascii="David" w:hAnsi="David" w:hint="cs"/>
          <w:rtl/>
        </w:rPr>
        <w:t>א'</w:t>
      </w:r>
      <w:r w:rsidRPr="00E73741">
        <w:rPr>
          <w:rFonts w:ascii="David" w:hAnsi="David"/>
          <w:rtl/>
        </w:rPr>
        <w:t xml:space="preserve"> היה עורך הסכם מתאים ולא כפי שנערך. </w:t>
      </w:r>
    </w:p>
    <w:p w:rsidR="00E73741" w:rsidRPr="00E73741" w:rsidRDefault="00E73741" w:rsidP="00E73741">
      <w:pPr>
        <w:pStyle w:val="ad"/>
        <w:numPr>
          <w:ilvl w:val="0"/>
          <w:numId w:val="10"/>
        </w:numPr>
        <w:spacing w:line="360" w:lineRule="auto"/>
        <w:jc w:val="both"/>
        <w:rPr>
          <w:rFonts w:ascii="David" w:hAnsi="David"/>
          <w:rtl/>
        </w:rPr>
      </w:pPr>
      <w:r w:rsidRPr="00E73741">
        <w:rPr>
          <w:rFonts w:ascii="David" w:hAnsi="David"/>
          <w:rtl/>
        </w:rPr>
        <w:t xml:space="preserve">עוד מכחישה הנתבעת כל אפשרות לתנאי כזה שהיה קשור לנטילת משכנתא, שכן ביצוע העברת הנכס ברח' </w:t>
      </w:r>
      <w:r w:rsidR="00642BE8">
        <w:rPr>
          <w:rFonts w:ascii="David" w:hAnsi="David"/>
        </w:rPr>
        <w:t>Y</w:t>
      </w:r>
      <w:r w:rsidRPr="00E73741">
        <w:rPr>
          <w:rFonts w:ascii="David" w:hAnsi="David"/>
          <w:rtl/>
        </w:rPr>
        <w:t xml:space="preserve"> היה בשנת 2012 ורכישת הדירה ברח' </w:t>
      </w:r>
      <w:r w:rsidR="00642BE8">
        <w:rPr>
          <w:rFonts w:ascii="David" w:hAnsi="David"/>
        </w:rPr>
        <w:t>X</w:t>
      </w:r>
      <w:r w:rsidRPr="00E73741">
        <w:rPr>
          <w:rFonts w:ascii="David" w:hAnsi="David"/>
          <w:rtl/>
        </w:rPr>
        <w:t xml:space="preserve"> בוצעה 5 שנים לאחר מכן, כך שאין שום קשר בין העברת המתנה לבין רכישת הדירה הנוכחית של הנתבעת.</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עוד צוין כי הסכם המתנה נערך בשנת 2012 בעוד שעו"ד </w:t>
      </w:r>
      <w:r w:rsidR="00642BE8">
        <w:rPr>
          <w:rFonts w:ascii="David" w:hAnsi="David" w:hint="cs"/>
          <w:rtl/>
        </w:rPr>
        <w:t>א'</w:t>
      </w:r>
      <w:r w:rsidRPr="00E73741">
        <w:rPr>
          <w:rFonts w:ascii="David" w:hAnsi="David"/>
          <w:rtl/>
        </w:rPr>
        <w:t xml:space="preserve"> השלים את רישום הנכס על שם הנתבעת בחודש מרץ 2015 כאשר גם במועד הטיפול בענין זה,  כלל לא עמדה על הפרק רכישת הדירה ברח' </w:t>
      </w:r>
      <w:r w:rsidR="00642BE8">
        <w:rPr>
          <w:rFonts w:ascii="David" w:hAnsi="David"/>
        </w:rPr>
        <w:t>X</w:t>
      </w:r>
      <w:r w:rsidRPr="00E73741">
        <w:rPr>
          <w:rFonts w:ascii="David" w:hAnsi="David"/>
          <w:rtl/>
        </w:rPr>
        <w:t>.</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 xml:space="preserve">הנתבעת מציינת כי גם אם נניח שעו"ד </w:t>
      </w:r>
      <w:r w:rsidR="00642BE8">
        <w:rPr>
          <w:rFonts w:ascii="David" w:hAnsi="David" w:hint="cs"/>
          <w:rtl/>
        </w:rPr>
        <w:t>א'</w:t>
      </w:r>
      <w:r w:rsidR="00642BE8" w:rsidRPr="00E73741">
        <w:rPr>
          <w:rFonts w:ascii="David" w:hAnsi="David"/>
          <w:rtl/>
        </w:rPr>
        <w:t xml:space="preserve"> </w:t>
      </w:r>
      <w:r w:rsidRPr="00E73741">
        <w:rPr>
          <w:rFonts w:ascii="David" w:hAnsi="David"/>
          <w:rtl/>
        </w:rPr>
        <w:t>שכח להוסיף התניות במסגרת עריכת המתנה דבר לא מנע ממנו להוסיף התניות כאלה בשנת 2015, כאשר קרא לתובעת ולנתבעת פעם נוספת למשרדו לצורך חתימה על שטרי המכר.</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מבהירה כי במועד מתן המתנה בשנת 2012 היה ברור לכולם שמדובר במתנה מוחלטת ובכל אותן שנים 2015-2012 מעולם בשום מסמך לא צוין כל תנאי, גם שנתיים שלאחר רישום הנכס על שמה של הנתבעת ועד למכירת הנכס לא דובר על כל תנאי ועד למועד השלמת רישום הנכס וגם לאחר מכן הנתבעת לא פנתה לשום גורם בנקאי לצורך נטילת משכנתא וענין זה כלל לא התרחש. למעשה מפנה הנתבעת לכך שגם בכתב התביעה המקורי שהוגש טרם כתב התביעה המתוקן, אין כל איזכור לתנאים או תניות במתן המתנה שכן שם הטענה נסובה סביב טענות שיתוף.</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טוענת כי מכלול הראיות מלמדת על כך שהמתנה היתה מתנה ללא תנאי וללא תמורה וכי גם הטענה לפיה התובעת סייעה כלכלית לנתבעת באמצעות תשלום הוצאות הנכס ברח' </w:t>
      </w:r>
      <w:r w:rsidR="00642BE8">
        <w:rPr>
          <w:rFonts w:ascii="David" w:hAnsi="David"/>
        </w:rPr>
        <w:t>Y</w:t>
      </w:r>
      <w:r w:rsidRPr="00E73741">
        <w:rPr>
          <w:rFonts w:ascii="David" w:hAnsi="David"/>
          <w:rtl/>
        </w:rPr>
        <w:t xml:space="preserve"> היא טענה בעלמא שכן הנתבעת היא זו ששילמה את מלוא הוצאות הנכס ויש לכך ראיות בכתב.</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עוד טוענת הנתבעת כי בשנת 2013 עלו יחסיה עם בעלה על שרטון, כאשר חלק נכבד מטענותיו כלפיה נסובו סביב היקף ההשקעה של הנתבעת באמה היא התובעת.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עוד מציינת הנתבעת כי בחודש ינואר 2017 כאשר החליטה למכור את הנכס ברח' </w:t>
      </w:r>
      <w:r w:rsidR="00642BE8">
        <w:rPr>
          <w:rFonts w:ascii="David" w:hAnsi="David"/>
        </w:rPr>
        <w:t>Y</w:t>
      </w:r>
      <w:r w:rsidRPr="00E73741">
        <w:rPr>
          <w:rFonts w:ascii="David" w:hAnsi="David"/>
          <w:rtl/>
        </w:rPr>
        <w:t xml:space="preserve"> ולרכוש נכס אחר,  פנתה לצורך כך למתווך, ביקשה ממנו לבחון נכסים והתובעת לא היתה צד לענין למעט העובדה שהנתבעת שיתפה אותה שעורכת בדיקה בשוק הנכסים לצורך שידרוג.</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גם בשלב זה בחודש ינואר 2017 לא פנתה לשום מוסד בנקאי ויחד עם המתווך בחרה מספר נכסים כאשר התובעת מעולם לא ביקרה איתה באף נכס.</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רק בחודש אפריל 2017 פנתה לראשונה לבנק למשכנתאות על מנת לקבל אומדנה ואישור עקרוני בדבר יכולתה לקבל משכנתא.</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מצרפת לכתב התביעה את פנייתה בכתב לבנק הממשכן לצורך קבלת אישור עקרוני, כאשר מצוין שם כי המקורות הזמניים שהציגה הנתבעת היו בסך 495,000 ₪ כאשר ביקשה משכנתא בהיקף של כ 340,000 ₪ והנתבעת מבקשת להפנות כי מסמך זה מהווה ראיה לכך שאפילו לא ידעה מה ההון העצמי הנדרש, וזאת ללא קשר לתובעת אשר לא היתה בשום שלב צד להליך הנ"ל.</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מציינת כי העובדה שבחרה להעביר את כספי המכירה של הנכס ברח' </w:t>
      </w:r>
      <w:r w:rsidR="00642BE8">
        <w:rPr>
          <w:rFonts w:ascii="David" w:hAnsi="David"/>
        </w:rPr>
        <w:t>Y</w:t>
      </w:r>
      <w:r w:rsidRPr="00E73741">
        <w:rPr>
          <w:rFonts w:ascii="David" w:hAnsi="David"/>
          <w:rtl/>
        </w:rPr>
        <w:t xml:space="preserve"> לחשבונה היתה קשורה אך ורק לגירושיה, כאשר במכוון נמנעה מערבוב בין כספי ההלוואות הקשורות לגירושיה לכספי המשכנתא וההלוואה העצמית, תוך רצון לייצר הפרדה מוחלטת בין הנכס אותו מכרה לבין הכנסות והוצאות הקשורות לגירושין.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מדגישה כי למרות שהתגרשה מבעלה נותרו ביניהם חיכוכים הנוגעים לתשלומי מזונות ותשלום מדור עבור הקטינים.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מדגי</w:t>
      </w:r>
      <w:r w:rsidR="00642BE8">
        <w:rPr>
          <w:rFonts w:ascii="David" w:hAnsi="David" w:hint="cs"/>
          <w:rtl/>
        </w:rPr>
        <w:t>ש</w:t>
      </w:r>
      <w:r w:rsidRPr="00E73741">
        <w:rPr>
          <w:rFonts w:ascii="David" w:hAnsi="David"/>
          <w:rtl/>
        </w:rPr>
        <w:t xml:space="preserve">ה כי כפי שהתובעת לא היתה חלק מההחלטה על מכירת הנכס כך גם לא היתה חלק מהחלטת הנתבעת לרכוש דירה, לא שילמה עבור השירות המשפטי, לא בעבור התיווך, והתובעת לא היתה חלק בשיפוץ הנכס ברח' </w:t>
      </w:r>
      <w:r w:rsidR="00642BE8">
        <w:rPr>
          <w:rFonts w:ascii="David" w:hAnsi="David"/>
        </w:rPr>
        <w:t>X</w:t>
      </w:r>
      <w:r w:rsidRPr="00E73741">
        <w:rPr>
          <w:rFonts w:ascii="David" w:hAnsi="David"/>
          <w:rtl/>
        </w:rPr>
        <w:t xml:space="preserve">.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שהשקיעה ממון רב בסך 130,000 ₪ רק בשיפוץ ואת המשכנתא שנטלה ל-25 שנים נטלה כלווה יחידה, כאשר התובעת איננה מוגדרת לא כלווה, לא כערבה למשכנתא ולא נשאה בנטל התשלומים החודשיים שמשולמים ע"י הנתבעת מאז שנת 2017.</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מבהירה כי למרות שכלל השיקולים שלה בבחירת וברכישת הדירה ברח' </w:t>
      </w:r>
      <w:r w:rsidR="00642BE8">
        <w:rPr>
          <w:rFonts w:ascii="David" w:hAnsi="David"/>
        </w:rPr>
        <w:t>X</w:t>
      </w:r>
      <w:r w:rsidRPr="00E73741">
        <w:rPr>
          <w:rFonts w:ascii="David" w:hAnsi="David"/>
          <w:rtl/>
        </w:rPr>
        <w:t xml:space="preserve"> נבעו לקרבה למוסדות החינוך של הבנות (שאז עוד למדו במסגרות חינוך ) מעולם לא היה דין ודברים בינה ובין התובעת ביחד לאפשרות רישום התובעת כבעלים משותף בדירה מעולם לא עלה על דעתה לזנוח את התובעת והיה ברור לה כפי שתמכה בתובעת לאורך כל השנים כי היא תמשיך לעשות זאת, להסיע אותה ממקום למקום ולקחת אותה לעבודה, לטיפול רפואי, לבילוי בבית קפה ועל כן הציעה לתובעת להתגורר עמה בבית החדש אותו רכשה. התובעת לא סירבה וכך עברו האם ובתה להתגורר בדירת הבת לאחר שנרכשה ושופצה.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מבהירה כי היא ששילמה ומשלמת את רכישת הבית, שיפוץ הבית, רכישת מוצרים לרבות ריהוט כלי בית ותשלום חשבונות.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שנה לאחר המעבר בשנת 2018 לאחר הפחתת תשלומי המזונות של הבנות שבגרו, הגם שהיקף הצרכים נותר על כנו נאלצה הנתבעת לצאת לעבוד בעבודה נוספת על מנת לפרנס את בנותיה ואת אמה, מצב שהוביל לכך שהיא נעדרה מהבית יותר שעות.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שעובדה זו היתה לצנינים בעיני התובעת שמשום מקום החלה לפתח מריבות עם בנותיה של הנתבעת, הנכדות תוך שהתובעת רוטנת על כך שהנתבעת עובדת בשתי עבודות וכאשר כל הזמן היא נוקטת בלשון בוטה גם בפני הבנות כנגד אביהן בגין כך שהוא אינו נושא בהוצאותיהן.</w:t>
      </w:r>
    </w:p>
    <w:p w:rsidR="00E73741" w:rsidRPr="00E73741" w:rsidRDefault="00E73741" w:rsidP="00642BE8">
      <w:pPr>
        <w:pStyle w:val="ad"/>
        <w:numPr>
          <w:ilvl w:val="0"/>
          <w:numId w:val="10"/>
        </w:numPr>
        <w:spacing w:line="360" w:lineRule="auto"/>
        <w:jc w:val="both"/>
        <w:rPr>
          <w:rFonts w:ascii="David" w:hAnsi="David"/>
        </w:rPr>
      </w:pPr>
      <w:r w:rsidRPr="00E73741">
        <w:rPr>
          <w:rFonts w:ascii="David" w:hAnsi="David"/>
          <w:rtl/>
        </w:rPr>
        <w:t>עוד טוענת הנתבעת כי התובעת ויתרה על כך שלכאורה היא צריכה לטפל בנכדות, אלא שטענה זו היתה לא נכונה שכן מדובר בילדות שהיו בין הגילאים 19-6 ואף אחת מהן לא היתה זקוקה לטיפול התובעת. נהפוכו, התובעת היא זו שצרכה את תשומת הלב. לימים, שתי הבנות הגדולות השתחררו מהצבא, הקטנות גדלו אך למרבה הצער התובעת נקטה בעלבונות, קללות ושפה בוטה כלפי הילדות, עד כדי כך שהנתבעת נאלצה מעת לעת לעזוב את מקום העבודה באמצע משמרת על מנת ללבן את החיכוכים בין הסבתא לנכדות. כך לדוגמא מציינת הנתבעת כי בתקופת הבידודים בשל הקורונה, בחודש מאי 2020, נכנסה התובעת לחדר של הבת הגדולה הקניטה אותה ביחס למשקל גופה, נוצר ויכוח עז בין הסבתא לנכדה והנתבעת נאלצה לעזוב את המשמרת במקום עבודתה ולהגיע לטפל בענין. עוד מציינת הנתבעת כי בחודש יוני 2020 כאשר התבקשה ע"י הבעלים של מקום עבודתה בקבוצת "</w:t>
      </w:r>
      <w:r w:rsidR="00642BE8">
        <w:rPr>
          <w:rFonts w:ascii="David" w:hAnsi="David" w:hint="cs"/>
          <w:rtl/>
        </w:rPr>
        <w:t>***</w:t>
      </w:r>
      <w:r w:rsidRPr="00E73741">
        <w:rPr>
          <w:rFonts w:ascii="David" w:hAnsi="David"/>
          <w:rtl/>
        </w:rPr>
        <w:t>" לעבוד גם בשבתות, התובעת החלה צועקת ומקללת את הנתבעת על כך שהיא עובדת גם בשבתות.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אמרה לתובעת כי מעכשיו כל אחת חיה את חייה ללא מעורבות תוך השגת "שקט תעשייתי" בין התובעת לנתבעת ובנותיה. למרות האמור,  בפועל הנתבעת מדגישה כי לא מנעה דבר וחצי דבר מהתובעת בתחום הבית, המשיכה לכבד אותה ולא היה בדעתה לדרוש ממנה לצאת מהבית ורק הבהירה לה כי היא לא מעוניינת לריב איתה ולא מסכימה ליחס המזלזל כלפיה וכלפי הבנות.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מדגישה כי יכולה הייתה לדרוש מהתובעת לעזוב את הבית אך לא חשבה לעשות זאת, למרות שהתובעת לא התנהגה בצורה נאותה.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מציינת כי ביום 01/07/2020 שלחה התובעת מכתב התראה לנתבעת ומיוזמתה החלה להוציא דברים מהבית לרבות תכשיטים שניתנו במתנה לנתבעת, ארזה תיק, יצאה מהבית וחזרה לאחר שבוע.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מדגישה כי למרות כל האמור מעולם לא שינתה את הרגלי הצריכה של המזון בבית והמשיכה לנקות את הבית ולשלם את החשבונות, המשיכה לטפל בכל אחזקת הבית לרבות החדר שבו התובעת לנה גם בתקופות שבו התובעת בחרה שלא לשהות בבית.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מציינת כי התובעת בכל אותה תקופה היתה יוצאת מהבית וחוזרת אליו על פי החלטתה, כאשר בחלק מהביקורים גרמה נזקים. כך למשל שרטה את דלת הפלדלת החדשה,  וגרמה נזק בסך של 6,500 ₪ אותו שילמה הנתבעת.</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עוד מציינת הנתבעת כי באירוע שהתרחש בחודש יוני 2020 איימה עליה התובעת כי תפנה למקומות העבודה שלה תוך שהיא מכפישה אותה ותטען כי היא מתעללת בה. הנתבעת מציינת כי אומנם התובעת לא פנתה למקומות העבודה שלה אך פנתה להכפיש אותה מול צדדים שלישיים אחרים.</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 xml:space="preserve">הנתבעת מציינת כי התובעת ממציאה גרסאות הסותרות זו את זו, מתעלמת מעובדות שנתמכות בחלקן בכתב ובחלקן בעדויות. </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מתייחסת סעיף סעיף לטענות כתב התביעה, ומציינת כי למעשה מדובר במתנה שניתנה בשנת 2012, שהעברתה הושלמה בשנת 2015 וכבר נמכרה בשנת 2017.</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מפנה לגמירות דעת התובעת שנתנה את המתנה. טוענת כי מדובר במתנה גמורה מנויה וסגורה שלא היתה מותנת בשום תנאי. הנתבעת מפנה לכך שמדובר היה בעסקת מקרקעין שנעשתה בכתב ואף דווחה.</w:t>
      </w:r>
    </w:p>
    <w:p w:rsidR="00E73741" w:rsidRP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מדגישה כי גם אם יש סעד אפשרי שנובע מכך שלכאורה התלווה למתנה חיוב בענין חדר מגורים לתובעת עד יומה האחרון, הרי שאין מניעה להמשיך ולאפשר לתובעת חדר למגוריה כפי שמתאפשר לה גם במועד הגשת כתב התביעה וכתב התביעה המתוקן וגם כיום.</w:t>
      </w:r>
    </w:p>
    <w:p w:rsidR="00E73741" w:rsidRDefault="00E73741" w:rsidP="00E73741">
      <w:pPr>
        <w:pStyle w:val="ad"/>
        <w:numPr>
          <w:ilvl w:val="0"/>
          <w:numId w:val="10"/>
        </w:numPr>
        <w:spacing w:line="360" w:lineRule="auto"/>
        <w:jc w:val="both"/>
        <w:rPr>
          <w:rFonts w:ascii="David" w:hAnsi="David"/>
        </w:rPr>
      </w:pPr>
      <w:r w:rsidRPr="00E73741">
        <w:rPr>
          <w:rFonts w:ascii="David" w:hAnsi="David"/>
          <w:rtl/>
        </w:rPr>
        <w:t>הנתבעת טוענת כי כתב התביעה המתוקן חרג מגדרי התביעה שהוגדרה בהחלטה לתיקון כתב התביעה ויש לדחות את כתב התביעה על כל סעיפיו.</w:t>
      </w:r>
    </w:p>
    <w:p w:rsidR="00AB7D84" w:rsidRPr="00E73741" w:rsidRDefault="00AB7D84" w:rsidP="00AB7D84">
      <w:pPr>
        <w:pStyle w:val="ad"/>
        <w:spacing w:line="360" w:lineRule="auto"/>
        <w:ind w:left="1080"/>
        <w:jc w:val="both"/>
        <w:rPr>
          <w:rFonts w:ascii="David" w:hAnsi="David"/>
        </w:rPr>
      </w:pPr>
    </w:p>
    <w:p w:rsidR="00E73741" w:rsidRPr="00E73741" w:rsidRDefault="00E73741" w:rsidP="00E73741">
      <w:pPr>
        <w:pStyle w:val="ad"/>
        <w:numPr>
          <w:ilvl w:val="0"/>
          <w:numId w:val="8"/>
        </w:numPr>
        <w:spacing w:line="360" w:lineRule="auto"/>
        <w:jc w:val="both"/>
        <w:rPr>
          <w:rFonts w:ascii="David" w:hAnsi="David"/>
          <w:b/>
          <w:bCs/>
          <w:sz w:val="26"/>
          <w:szCs w:val="26"/>
          <w:u w:val="single"/>
        </w:rPr>
      </w:pPr>
      <w:r w:rsidRPr="00E73741">
        <w:rPr>
          <w:rFonts w:ascii="David" w:hAnsi="David"/>
          <w:b/>
          <w:bCs/>
          <w:sz w:val="26"/>
          <w:szCs w:val="26"/>
          <w:u w:val="single"/>
          <w:rtl/>
        </w:rPr>
        <w:t>סיכומי התובעת בתמצית</w:t>
      </w:r>
    </w:p>
    <w:p w:rsidR="00E73741" w:rsidRPr="00E73741" w:rsidRDefault="00E73741" w:rsidP="00E73741">
      <w:pPr>
        <w:pStyle w:val="ad"/>
        <w:numPr>
          <w:ilvl w:val="0"/>
          <w:numId w:val="11"/>
        </w:numPr>
        <w:spacing w:line="360" w:lineRule="auto"/>
        <w:jc w:val="both"/>
        <w:rPr>
          <w:rFonts w:ascii="David" w:hAnsi="David"/>
        </w:rPr>
      </w:pPr>
      <w:r w:rsidRPr="00E73741">
        <w:rPr>
          <w:rFonts w:ascii="David" w:hAnsi="David"/>
          <w:rtl/>
        </w:rPr>
        <w:t xml:space="preserve">לאחר שנשמעו הראיות הוגשו סיכומי התובעת אשר טענה כי עדותה היתה קוהרנטית ועקבית וכי עדות הנתבעת היתה מתפתלת, מבולבלת וסותרת. </w:t>
      </w:r>
    </w:p>
    <w:p w:rsidR="00E73741" w:rsidRPr="00E73741" w:rsidRDefault="00E73741" w:rsidP="00E73741">
      <w:pPr>
        <w:pStyle w:val="ad"/>
        <w:numPr>
          <w:ilvl w:val="0"/>
          <w:numId w:val="11"/>
        </w:numPr>
        <w:spacing w:line="360" w:lineRule="auto"/>
        <w:jc w:val="both"/>
        <w:rPr>
          <w:rFonts w:ascii="David" w:hAnsi="David"/>
        </w:rPr>
      </w:pPr>
      <w:r w:rsidRPr="00E73741">
        <w:rPr>
          <w:rFonts w:ascii="David" w:hAnsi="David"/>
          <w:rtl/>
        </w:rPr>
        <w:t xml:space="preserve">התובעת מסכמת כי אי קיומו של התנאי או החיוב ממקבל המתנה מאפשר לנותן המתנה לבטלה וכי בשל התנהגות מחפירה של ילד כלפי נותן המתנה ניתן לבטל את המתנה. </w:t>
      </w:r>
    </w:p>
    <w:p w:rsidR="00E73741" w:rsidRPr="00E73741" w:rsidRDefault="00E73741" w:rsidP="00E73741">
      <w:pPr>
        <w:pStyle w:val="ad"/>
        <w:numPr>
          <w:ilvl w:val="0"/>
          <w:numId w:val="11"/>
        </w:numPr>
        <w:spacing w:line="360" w:lineRule="auto"/>
        <w:jc w:val="both"/>
        <w:rPr>
          <w:rFonts w:ascii="David" w:hAnsi="David"/>
        </w:rPr>
      </w:pPr>
      <w:r w:rsidRPr="00E73741">
        <w:rPr>
          <w:rFonts w:ascii="David" w:hAnsi="David"/>
          <w:rtl/>
        </w:rPr>
        <w:t>עוד בסיכומים נטענו טענות של עשיית עושר שלא במשפט, תוך שנטען כי התנהלות הנתבעת מהווה ניסיון פתול ונלוז שלא בעשיית עושר שלא במשפט.</w:t>
      </w:r>
    </w:p>
    <w:p w:rsidR="00E73741" w:rsidRPr="00E73741" w:rsidRDefault="00E73741" w:rsidP="00E73741">
      <w:pPr>
        <w:pStyle w:val="ad"/>
        <w:numPr>
          <w:ilvl w:val="0"/>
          <w:numId w:val="11"/>
        </w:numPr>
        <w:spacing w:line="360" w:lineRule="auto"/>
        <w:jc w:val="both"/>
        <w:rPr>
          <w:rFonts w:ascii="David" w:hAnsi="David"/>
          <w:rtl/>
        </w:rPr>
      </w:pPr>
      <w:r w:rsidRPr="00E73741">
        <w:rPr>
          <w:rFonts w:ascii="David" w:hAnsi="David"/>
          <w:rtl/>
        </w:rPr>
        <w:t xml:space="preserve">הנתבעת עומדת על קבלת תביעתה כאשר הסעד המבוקש בסיכומים הוא ביטול המתנה ומתן פסק דין הצהרתי, שיצהיר על זכות התובעת בחלק השווי ל % 71 אחוז משווי הדירה שנרשה. </w:t>
      </w:r>
    </w:p>
    <w:p w:rsidR="00E73741" w:rsidRPr="00E73741" w:rsidRDefault="00E73741" w:rsidP="00E73741">
      <w:pPr>
        <w:pStyle w:val="ad"/>
        <w:numPr>
          <w:ilvl w:val="0"/>
          <w:numId w:val="8"/>
        </w:numPr>
        <w:spacing w:line="360" w:lineRule="auto"/>
        <w:jc w:val="both"/>
        <w:rPr>
          <w:rFonts w:ascii="David" w:hAnsi="David"/>
          <w:sz w:val="26"/>
          <w:szCs w:val="26"/>
        </w:rPr>
      </w:pPr>
      <w:r w:rsidRPr="00E73741">
        <w:rPr>
          <w:rFonts w:ascii="David" w:hAnsi="David"/>
          <w:b/>
          <w:bCs/>
          <w:sz w:val="26"/>
          <w:szCs w:val="26"/>
          <w:u w:val="single"/>
          <w:rtl/>
        </w:rPr>
        <w:t>סיכומי הנתבעת בתמצית</w:t>
      </w:r>
    </w:p>
    <w:p w:rsidR="00E73741" w:rsidRPr="00E73741" w:rsidRDefault="00E73741" w:rsidP="00E73741">
      <w:pPr>
        <w:pStyle w:val="ad"/>
        <w:numPr>
          <w:ilvl w:val="0"/>
          <w:numId w:val="12"/>
        </w:numPr>
        <w:spacing w:line="360" w:lineRule="auto"/>
        <w:jc w:val="both"/>
        <w:rPr>
          <w:rFonts w:ascii="David" w:hAnsi="David"/>
        </w:rPr>
      </w:pPr>
      <w:r w:rsidRPr="00E73741">
        <w:rPr>
          <w:rFonts w:ascii="David" w:hAnsi="David"/>
          <w:rtl/>
        </w:rPr>
        <w:t xml:space="preserve"> הנתבעת מצדה טוענת כי גרסתה נשמרה לאורך כל ההליך תוך שסיכומי התובעת מתייחסים למעשה לתיק אחר שמעולם לא התנהל בעניינם של הצדדים ואינו מתיישב עם המציאות העובדתית של ניהול ההליך. </w:t>
      </w:r>
    </w:p>
    <w:p w:rsidR="00E73741" w:rsidRPr="00E73741" w:rsidRDefault="00E73741" w:rsidP="00E73741">
      <w:pPr>
        <w:pStyle w:val="ad"/>
        <w:numPr>
          <w:ilvl w:val="0"/>
          <w:numId w:val="12"/>
        </w:numPr>
        <w:spacing w:line="360" w:lineRule="auto"/>
        <w:jc w:val="both"/>
        <w:rPr>
          <w:rFonts w:ascii="David" w:hAnsi="David"/>
        </w:rPr>
      </w:pPr>
      <w:r w:rsidRPr="00E73741">
        <w:rPr>
          <w:rFonts w:ascii="David" w:hAnsi="David"/>
          <w:rtl/>
        </w:rPr>
        <w:t xml:space="preserve">הנתבעת בסיכומיה טוענת כי חקירתה של התובעת מדגימה את התנהלותה שהביאה למצב העובדתי הנוכחי, כאשר אף בית המשפט נאלץ לבצע שתי הפסקות יזומות מטעמו על מנת שהתובעת תתעשת. </w:t>
      </w:r>
    </w:p>
    <w:p w:rsidR="00E73741" w:rsidRPr="00E73741" w:rsidRDefault="00E73741" w:rsidP="00642BE8">
      <w:pPr>
        <w:pStyle w:val="ad"/>
        <w:numPr>
          <w:ilvl w:val="0"/>
          <w:numId w:val="12"/>
        </w:numPr>
        <w:spacing w:line="360" w:lineRule="auto"/>
        <w:jc w:val="both"/>
        <w:rPr>
          <w:rFonts w:ascii="David" w:hAnsi="David"/>
        </w:rPr>
      </w:pPr>
      <w:r w:rsidRPr="00E73741">
        <w:rPr>
          <w:rFonts w:ascii="David" w:hAnsi="David"/>
          <w:rtl/>
        </w:rPr>
        <w:t xml:space="preserve">הנתבעת טוענת כי התובעת בחרה שלא להביא את עו"ד </w:t>
      </w:r>
      <w:r w:rsidR="00642BE8">
        <w:rPr>
          <w:rFonts w:ascii="David" w:hAnsi="David" w:hint="cs"/>
          <w:rtl/>
        </w:rPr>
        <w:t>א'</w:t>
      </w:r>
      <w:r w:rsidR="00642BE8" w:rsidRPr="00E73741">
        <w:rPr>
          <w:rFonts w:ascii="David" w:hAnsi="David"/>
          <w:rtl/>
        </w:rPr>
        <w:t xml:space="preserve"> </w:t>
      </w:r>
      <w:r w:rsidRPr="00E73741">
        <w:rPr>
          <w:rFonts w:ascii="David" w:hAnsi="David"/>
          <w:rtl/>
        </w:rPr>
        <w:t>ורעייתו למרות שלכאורה עדותם יכולה היתה לשפוך אור כל התנאי או החיוב לכאורה בצד המתנה שהוענקה.</w:t>
      </w:r>
    </w:p>
    <w:p w:rsidR="00E73741" w:rsidRPr="00E73741" w:rsidRDefault="00E73741" w:rsidP="00642BE8">
      <w:pPr>
        <w:pStyle w:val="ad"/>
        <w:numPr>
          <w:ilvl w:val="0"/>
          <w:numId w:val="12"/>
        </w:numPr>
        <w:spacing w:line="360" w:lineRule="auto"/>
        <w:jc w:val="both"/>
        <w:rPr>
          <w:rFonts w:ascii="David" w:hAnsi="David"/>
        </w:rPr>
      </w:pPr>
      <w:r w:rsidRPr="00E73741">
        <w:rPr>
          <w:rFonts w:ascii="David" w:hAnsi="David"/>
          <w:rtl/>
        </w:rPr>
        <w:t xml:space="preserve">עוד טוענת הנתבעת בסיכומיה כי למעשה בחקירת התובעת עלתה גרסה חדשה לפיה הגב' </w:t>
      </w:r>
      <w:r w:rsidR="00642BE8">
        <w:rPr>
          <w:rFonts w:ascii="David" w:hAnsi="David" w:hint="cs"/>
          <w:rtl/>
        </w:rPr>
        <w:t>י'</w:t>
      </w:r>
      <w:r w:rsidRPr="00E73741">
        <w:rPr>
          <w:rFonts w:ascii="David" w:hAnsi="David"/>
          <w:rtl/>
        </w:rPr>
        <w:t xml:space="preserve"> לא ידעה על התנאי, וזאת בניגוד לטענה התובעת לכתחילה שכן ידעה על התנאי. </w:t>
      </w:r>
    </w:p>
    <w:p w:rsidR="00E73741" w:rsidRPr="00E73741" w:rsidRDefault="00E73741" w:rsidP="00E73741">
      <w:pPr>
        <w:pStyle w:val="ad"/>
        <w:numPr>
          <w:ilvl w:val="0"/>
          <w:numId w:val="12"/>
        </w:numPr>
        <w:spacing w:line="360" w:lineRule="auto"/>
        <w:jc w:val="both"/>
        <w:rPr>
          <w:rFonts w:ascii="David" w:hAnsi="David"/>
        </w:rPr>
      </w:pPr>
      <w:r w:rsidRPr="00E73741">
        <w:rPr>
          <w:rFonts w:ascii="David" w:hAnsi="David"/>
          <w:rtl/>
        </w:rPr>
        <w:t>הנתבעת טוענת כי למעשה היו חמש גרסאות שונות של התובעת בענין המתנה, טוענת כי התביעה נעדרת עילה ומשכך עותרת לדחיית התביעה תוך חיוב בהוצאות.</w:t>
      </w:r>
    </w:p>
    <w:p w:rsidR="00E73741" w:rsidRPr="00E73741" w:rsidRDefault="00E73741" w:rsidP="00E73741">
      <w:pPr>
        <w:spacing w:line="360" w:lineRule="auto"/>
        <w:jc w:val="both"/>
        <w:rPr>
          <w:rFonts w:ascii="David" w:hAnsi="David"/>
          <w:b/>
          <w:bCs/>
          <w:sz w:val="26"/>
          <w:szCs w:val="26"/>
          <w:u w:val="single"/>
          <w:rtl/>
        </w:rPr>
      </w:pPr>
    </w:p>
    <w:p w:rsidR="00E73741" w:rsidRPr="00E73741" w:rsidRDefault="00E73741" w:rsidP="00E73741">
      <w:pPr>
        <w:spacing w:line="360" w:lineRule="auto"/>
        <w:jc w:val="both"/>
        <w:rPr>
          <w:rFonts w:ascii="David" w:hAnsi="David"/>
          <w:b/>
          <w:bCs/>
          <w:sz w:val="26"/>
          <w:szCs w:val="26"/>
          <w:u w:val="single"/>
          <w:rtl/>
        </w:rPr>
      </w:pPr>
      <w:r w:rsidRPr="00E73741">
        <w:rPr>
          <w:rFonts w:ascii="David" w:hAnsi="David"/>
          <w:b/>
          <w:bCs/>
          <w:sz w:val="26"/>
          <w:szCs w:val="26"/>
          <w:u w:val="single"/>
          <w:rtl/>
        </w:rPr>
        <w:t xml:space="preserve">דיון והכרעה </w:t>
      </w:r>
    </w:p>
    <w:p w:rsidR="00E0662A" w:rsidRDefault="00E0662A" w:rsidP="00E0662A">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עסקינן בסכסוך בין אם ובת שהחל בהגשת תביעה ביום 21.10.2020 עת הגישה התובעת תביעה אותה הגדירה כתביעה לסעד הצהרתי חוזית, נאמנות קניינית ופירוק שיתוף. באותו כתב תביעה שהוגש ע"י התובעת כאשר היא מיוצגת ע"י אותו עורך דין, לא היה כל זכר למילה מתנה או לחיוב שהוטל בצדה. כל שטענה התובעת הוא כי לכאורה העבירה בנאמנות את דירתה לבתה, תוך השקעת התמורה ברכישת בית אחר.</w:t>
      </w:r>
    </w:p>
    <w:p w:rsidR="00AB7D84" w:rsidRPr="00E73741" w:rsidRDefault="00AB7D84" w:rsidP="00AB7D84">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AB7D84">
        <w:rPr>
          <w:rFonts w:ascii="David" w:hAnsi="David"/>
          <w:b/>
          <w:bCs/>
          <w:u w:val="single"/>
          <w:rtl/>
        </w:rPr>
        <w:t>לאחר קדם המשפט הראשון</w:t>
      </w:r>
      <w:r w:rsidRPr="00E73741">
        <w:rPr>
          <w:rFonts w:ascii="David" w:hAnsi="David"/>
          <w:rtl/>
        </w:rPr>
        <w:t xml:space="preserve"> ביום 11.4.2021 ולאחר שבנות המשפחה כבר השתתפו בהליך גישור שלא הביא לסיום המחלוקת</w:t>
      </w:r>
      <w:r w:rsidR="00AB7D84">
        <w:rPr>
          <w:rFonts w:ascii="David" w:hAnsi="David" w:hint="cs"/>
          <w:rtl/>
        </w:rPr>
        <w:t xml:space="preserve"> בגדריה כאמור בכתב התביעה המקורי</w:t>
      </w:r>
      <w:r w:rsidRPr="00E73741">
        <w:rPr>
          <w:rFonts w:ascii="David" w:hAnsi="David"/>
          <w:rtl/>
        </w:rPr>
        <w:t xml:space="preserve">, התקיים שיח באולם </w:t>
      </w:r>
      <w:r w:rsidR="00AB7D84">
        <w:rPr>
          <w:rFonts w:ascii="David" w:hAnsi="David" w:hint="cs"/>
          <w:rtl/>
        </w:rPr>
        <w:t xml:space="preserve">ביהמ"ש, </w:t>
      </w:r>
      <w:r w:rsidRPr="00E73741">
        <w:rPr>
          <w:rFonts w:ascii="David" w:hAnsi="David"/>
          <w:rtl/>
        </w:rPr>
        <w:t xml:space="preserve">כאשר </w:t>
      </w:r>
      <w:r w:rsidRPr="00AB7D84">
        <w:rPr>
          <w:rFonts w:ascii="David" w:hAnsi="David"/>
          <w:b/>
          <w:bCs/>
          <w:u w:val="single"/>
          <w:rtl/>
        </w:rPr>
        <w:t>התברר שלמעשה טענת התובעת היא כי עסקינן במתנה שהושלמה ובטענה של קיומו של תנאי לכאורה לצד הסכם המתנה כאשר בעקבות כך הוגשה בקשה לתיקון כתב התביעה</w:t>
      </w:r>
      <w:r w:rsidRPr="00E73741">
        <w:rPr>
          <w:rFonts w:ascii="David" w:hAnsi="David"/>
          <w:rtl/>
        </w:rPr>
        <w:t xml:space="preserve">, וביום 10.11.2021 ניתנה החלטה אשר התירה הגשת כתב תביעה מתוקן תוך חיוב התובעת בהוצאות. </w:t>
      </w:r>
    </w:p>
    <w:p w:rsidR="00AB7D84" w:rsidRPr="00AB7D84" w:rsidRDefault="00AB7D84" w:rsidP="00AB7D84">
      <w:pPr>
        <w:pStyle w:val="ad"/>
        <w:rPr>
          <w:rFonts w:ascii="David" w:hAnsi="David"/>
          <w:rtl/>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ביום 10.6.2021 הוגשה תביעה חדשה שהוגדרה כתביעה לביטול מתנה, סעד הצהרתי וחוק החוזים. האמור באותו כתב תביעה מתוקן תואר בהרחבה בפתח פסק דין זה ובית המשפט לא יחזור על האמור בו. </w:t>
      </w:r>
    </w:p>
    <w:p w:rsidR="00AB7D84" w:rsidRPr="00AB7D84" w:rsidRDefault="00AB7D84" w:rsidP="00AB7D84">
      <w:pPr>
        <w:pStyle w:val="ad"/>
        <w:rPr>
          <w:rFonts w:ascii="David" w:hAnsi="David"/>
          <w:rtl/>
        </w:rPr>
      </w:pPr>
    </w:p>
    <w:p w:rsidR="00AB7D84" w:rsidRPr="00E73741" w:rsidRDefault="00AB7D84" w:rsidP="00AB7D84">
      <w:pPr>
        <w:pStyle w:val="ad"/>
        <w:spacing w:line="360" w:lineRule="auto"/>
        <w:jc w:val="both"/>
        <w:rPr>
          <w:rFonts w:ascii="David" w:hAnsi="David"/>
        </w:rPr>
      </w:pPr>
    </w:p>
    <w:p w:rsidR="00E73741" w:rsidRDefault="00E73741" w:rsidP="00E0662A">
      <w:pPr>
        <w:pStyle w:val="ad"/>
        <w:numPr>
          <w:ilvl w:val="0"/>
          <w:numId w:val="8"/>
        </w:numPr>
        <w:spacing w:line="360" w:lineRule="auto"/>
        <w:jc w:val="both"/>
        <w:rPr>
          <w:rFonts w:ascii="David" w:hAnsi="David"/>
        </w:rPr>
      </w:pPr>
      <w:r w:rsidRPr="00E73741">
        <w:rPr>
          <w:rFonts w:ascii="David" w:hAnsi="David"/>
          <w:rtl/>
        </w:rPr>
        <w:t xml:space="preserve">סבורני כי למעשה </w:t>
      </w:r>
      <w:r w:rsidRPr="00E0662A">
        <w:rPr>
          <w:rFonts w:ascii="David" w:hAnsi="David"/>
          <w:b/>
          <w:bCs/>
          <w:u w:val="single"/>
          <w:rtl/>
        </w:rPr>
        <w:t>יש ממש בטענות הנתבעת </w:t>
      </w:r>
      <w:r w:rsidR="00E0662A" w:rsidRPr="00E0662A">
        <w:rPr>
          <w:rFonts w:ascii="David" w:hAnsi="David"/>
          <w:b/>
          <w:bCs/>
          <w:u w:val="single"/>
          <w:rtl/>
        </w:rPr>
        <w:t xml:space="preserve">כי התובעת </w:t>
      </w:r>
      <w:r w:rsidRPr="00E0662A">
        <w:rPr>
          <w:rFonts w:ascii="David" w:hAnsi="David"/>
          <w:b/>
          <w:bCs/>
          <w:u w:val="single"/>
          <w:rtl/>
        </w:rPr>
        <w:t>הפנתה חיציה לכיוונים מסוימים בעת הגשת כתב התביעה המקורי, ולכיוונים אחרים בעת הגשת כתב התביעה המתוקן</w:t>
      </w:r>
      <w:r w:rsidRPr="00E73741">
        <w:rPr>
          <w:rFonts w:ascii="David" w:hAnsi="David"/>
          <w:rtl/>
        </w:rPr>
        <w:t>, זאת בפער של כמעט שנה בין הגשת כתב התביעה המקורי ובין הגשת כתב התביעה המתוקן, כאשר בסיום ההליך לאחר שהובאו הראיות ונשמעו החקירות, למעשה בסיכומיה בחרה להפנות את טענותיה  הן לביסוס לכאורי של טענות שפורטו בכתב התביעה המקורי, הן לביסוס לכאורי של טענות שפורטו בכתב התביעה המתוקן, והן לטענות חדשות שנולדו בסיכומים עצמם. דהיינו: התובעת הפנתה את חיציה לכל כיוון אפשרי.</w:t>
      </w:r>
    </w:p>
    <w:p w:rsidR="00AB7D84" w:rsidRPr="00E73741" w:rsidRDefault="00AB7D84" w:rsidP="00AB7D84">
      <w:pPr>
        <w:pStyle w:val="ad"/>
        <w:spacing w:line="360" w:lineRule="auto"/>
        <w:jc w:val="both"/>
        <w:rPr>
          <w:rFonts w:ascii="David" w:hAnsi="David"/>
          <w:rtl/>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למרבה הצער מתרשם בית המשפט כי התובעת, מרוב רצונה להביא בכל דרך להשבת הגלגל לאחור, לא התרכזה לא במועד הגשת התביעה המקורית, לא במועד הגשת התביעה המתוקנת ולא במהלך ניהול הראיות, בטענות שיכולות לבסס אפילו לא אחד מהסעדים אשר לקבלתם עתרה.</w:t>
      </w:r>
    </w:p>
    <w:p w:rsidR="00AB7D84" w:rsidRPr="00E73741" w:rsidRDefault="00AB7D84" w:rsidP="00AB7D84">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בכל הכבוד, לטענות בענין יחסים משפחתיים ושיקולי צדק  ביחסי הורים וילדים, התרשמתי כי העובדות שהוכחו בפני בית המשפט מחזקות דווקא את גרסת הנתבעת ורחוקות שנות אור מגרסת התובעת.</w:t>
      </w:r>
    </w:p>
    <w:p w:rsidR="00AB7D84" w:rsidRPr="00E73741" w:rsidRDefault="00AB7D84" w:rsidP="00AB7D84">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הנתבעת הצליחה להוכיח לבית המשפט הן במסמכים מטעמה והן בחקירתה ולמעשה גם בחקירת התובעת עצמה, כי בניגוד לאמור בכתבי הטענות במערכת היחסים שבין האם ובתה, היתה זו הבת שהשקיעה שנים רבות מחייה, ממשאביה הכספיים ומזכותה לחיות חיים שבהם היא במרכז, לטובת האם. </w:t>
      </w:r>
    </w:p>
    <w:p w:rsidR="00AB7D84" w:rsidRPr="00AB7D84" w:rsidRDefault="00AB7D84" w:rsidP="00AB7D84">
      <w:pPr>
        <w:pStyle w:val="ad"/>
        <w:rPr>
          <w:rFonts w:ascii="David" w:hAnsi="David"/>
          <w:rtl/>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הנתבעת הצליחה להוכיח, כפי שטענה, כי היא הקדישה לאורך שנים משאבים פיזיים, נפשיים, רגשיים וכלכליים בסיוע לאימה אשר ננטשה פשוטו כמשמעו ע"י יתר ילדיה, וכך גם היו פני הדברים ביחס לטיפול בבעלה המנוח של התובעת. אחיה של הנתבעת או מי מהם חזר לחיי האם ככל הנראה בזיקה מובהקת לנקיטה בהליכים כנגד הנתבעת.</w:t>
      </w:r>
    </w:p>
    <w:p w:rsidR="00E0662A" w:rsidRDefault="00E0662A" w:rsidP="00E0662A">
      <w:pPr>
        <w:spacing w:line="360" w:lineRule="auto"/>
        <w:ind w:left="360"/>
        <w:jc w:val="both"/>
        <w:rPr>
          <w:rFonts w:ascii="David" w:hAnsi="David"/>
          <w:rtl/>
        </w:rPr>
      </w:pPr>
    </w:p>
    <w:p w:rsidR="00E0662A" w:rsidRDefault="00E0662A" w:rsidP="003C4B4A">
      <w:pPr>
        <w:spacing w:line="360" w:lineRule="auto"/>
        <w:jc w:val="both"/>
        <w:rPr>
          <w:rFonts w:ascii="David" w:hAnsi="David"/>
          <w:b/>
          <w:bCs/>
          <w:u w:val="single"/>
          <w:rtl/>
        </w:rPr>
      </w:pPr>
      <w:r w:rsidRPr="003C4B4A">
        <w:rPr>
          <w:rFonts w:ascii="David" w:hAnsi="David" w:hint="cs"/>
          <w:b/>
          <w:bCs/>
          <w:u w:val="single"/>
          <w:rtl/>
        </w:rPr>
        <w:t xml:space="preserve">המתנה שהוענקה </w:t>
      </w:r>
      <w:r w:rsidRPr="003C4B4A">
        <w:rPr>
          <w:rFonts w:ascii="David" w:hAnsi="David"/>
          <w:b/>
          <w:bCs/>
          <w:u w:val="single"/>
          <w:rtl/>
        </w:rPr>
        <w:t>–</w:t>
      </w:r>
      <w:r w:rsidRPr="003C4B4A">
        <w:rPr>
          <w:rFonts w:ascii="David" w:hAnsi="David" w:hint="cs"/>
          <w:b/>
          <w:bCs/>
          <w:u w:val="single"/>
          <w:rtl/>
        </w:rPr>
        <w:t xml:space="preserve"> נסיבות ההענקה והאם היה תנאי בצידה</w:t>
      </w:r>
    </w:p>
    <w:p w:rsidR="00AB7D84" w:rsidRPr="003C4B4A" w:rsidRDefault="00AB7D84" w:rsidP="003C4B4A">
      <w:pPr>
        <w:spacing w:line="360" w:lineRule="auto"/>
        <w:jc w:val="both"/>
        <w:rPr>
          <w:rFonts w:ascii="David" w:hAnsi="David"/>
          <w:b/>
          <w:bCs/>
          <w:u w:val="single"/>
        </w:rPr>
      </w:pPr>
    </w:p>
    <w:p w:rsidR="00E0662A" w:rsidRPr="00AB7D84" w:rsidRDefault="00E0662A" w:rsidP="00E73741">
      <w:pPr>
        <w:pStyle w:val="ad"/>
        <w:numPr>
          <w:ilvl w:val="0"/>
          <w:numId w:val="8"/>
        </w:numPr>
        <w:spacing w:line="360" w:lineRule="auto"/>
        <w:jc w:val="both"/>
        <w:rPr>
          <w:rFonts w:ascii="David" w:hAnsi="David"/>
          <w:b/>
          <w:bCs/>
        </w:rPr>
      </w:pPr>
      <w:r>
        <w:rPr>
          <w:rFonts w:ascii="David" w:hAnsi="David" w:hint="cs"/>
          <w:rtl/>
        </w:rPr>
        <w:t>כאמור</w:t>
      </w:r>
      <w:r w:rsidR="003C4B4A">
        <w:rPr>
          <w:rFonts w:ascii="David" w:hAnsi="David" w:hint="cs"/>
          <w:rtl/>
        </w:rPr>
        <w:t>,</w:t>
      </w:r>
      <w:r>
        <w:rPr>
          <w:rFonts w:ascii="David" w:hAnsi="David" w:hint="cs"/>
          <w:rtl/>
        </w:rPr>
        <w:t xml:space="preserve"> </w:t>
      </w:r>
      <w:r w:rsidRPr="00AB7D84">
        <w:rPr>
          <w:rFonts w:ascii="David" w:hAnsi="David" w:hint="cs"/>
          <w:b/>
          <w:bCs/>
          <w:rtl/>
        </w:rPr>
        <w:t>בפס"ד זה אוכל להתייחס אך ורק לטענות כתב התביעה מתוקן במסגרתו עתרה התובעת להכריע כי ההענקה היתה במסגרת הסכם מתנה שתנאי בצידו, שלכאורה הופר עקב קרע ביחסי האם ובתה.</w:t>
      </w:r>
    </w:p>
    <w:p w:rsidR="00AB7D84" w:rsidRPr="00AB7D84" w:rsidRDefault="00AB7D84" w:rsidP="00AB7D84">
      <w:pPr>
        <w:pStyle w:val="ad"/>
        <w:spacing w:line="360" w:lineRule="auto"/>
        <w:jc w:val="both"/>
        <w:rPr>
          <w:rFonts w:ascii="David" w:hAnsi="David"/>
          <w:b/>
          <w:bCs/>
        </w:rPr>
      </w:pPr>
    </w:p>
    <w:p w:rsidR="00E0662A" w:rsidRDefault="00E0662A" w:rsidP="003C4B4A">
      <w:pPr>
        <w:pStyle w:val="ad"/>
        <w:numPr>
          <w:ilvl w:val="0"/>
          <w:numId w:val="8"/>
        </w:numPr>
        <w:spacing w:line="360" w:lineRule="auto"/>
        <w:jc w:val="both"/>
        <w:rPr>
          <w:rFonts w:ascii="Arial" w:hAnsi="Arial"/>
          <w:noProof w:val="0"/>
        </w:rPr>
      </w:pPr>
      <w:r w:rsidRPr="00E0662A">
        <w:rPr>
          <w:rFonts w:ascii="Arial" w:hAnsi="Arial"/>
          <w:noProof w:val="0"/>
          <w:rtl/>
        </w:rPr>
        <w:t>קרע ביחסי צדדים ש</w:t>
      </w:r>
      <w:r w:rsidR="003C4B4A">
        <w:rPr>
          <w:rFonts w:ascii="Arial" w:hAnsi="Arial" w:hint="cs"/>
          <w:noProof w:val="0"/>
          <w:rtl/>
        </w:rPr>
        <w:t>ההיתכנות להיותו נוגע למתנה וש</w:t>
      </w:r>
      <w:r w:rsidRPr="00E0662A">
        <w:rPr>
          <w:rFonts w:ascii="Arial" w:hAnsi="Arial"/>
          <w:noProof w:val="0"/>
          <w:rtl/>
        </w:rPr>
        <w:t>אינו נקוב בהסכם מתנה במפורש, אינו כשלעצמו עילה ל</w:t>
      </w:r>
      <w:r>
        <w:rPr>
          <w:rFonts w:ascii="Arial" w:hAnsi="Arial" w:hint="cs"/>
          <w:noProof w:val="0"/>
          <w:rtl/>
        </w:rPr>
        <w:t xml:space="preserve">ביטול מתנה </w:t>
      </w:r>
      <w:r w:rsidRPr="00E0662A">
        <w:rPr>
          <w:rFonts w:ascii="Arial" w:hAnsi="Arial"/>
          <w:noProof w:val="0"/>
          <w:rtl/>
        </w:rPr>
        <w:t xml:space="preserve"> (ראה</w:t>
      </w:r>
      <w:r w:rsidRPr="00E0662A">
        <w:rPr>
          <w:rFonts w:ascii="Arial" w:hAnsi="Arial"/>
          <w:b/>
          <w:bCs/>
          <w:noProof w:val="0"/>
          <w:rtl/>
        </w:rPr>
        <w:t xml:space="preserve">: </w:t>
      </w:r>
      <w:hyperlink r:id="rId9" w:history="1">
        <w:r w:rsidRPr="00E0662A">
          <w:rPr>
            <w:rStyle w:val="Hyperlink"/>
            <w:rFonts w:ascii="Arial" w:hAnsi="Arial"/>
            <w:noProof w:val="0"/>
            <w:color w:val="auto"/>
            <w:u w:val="none"/>
            <w:rtl/>
          </w:rPr>
          <w:t>תמ"ש (ת"א) 13621-09-18</w:t>
        </w:r>
      </w:hyperlink>
      <w:r w:rsidRPr="00E0662A">
        <w:rPr>
          <w:rFonts w:ascii="Arial" w:hAnsi="Arial"/>
          <w:b/>
          <w:bCs/>
          <w:noProof w:val="0"/>
          <w:rtl/>
        </w:rPr>
        <w:t xml:space="preserve"> </w:t>
      </w:r>
      <w:r w:rsidRPr="00E0662A">
        <w:rPr>
          <w:rFonts w:ascii="Arial" w:hAnsi="Arial"/>
          <w:b/>
          <w:bCs/>
          <w:noProof w:val="0"/>
          <w:u w:val="single"/>
          <w:rtl/>
        </w:rPr>
        <w:t>י. ע. נ' א. ע.</w:t>
      </w:r>
      <w:r w:rsidRPr="00E0662A">
        <w:rPr>
          <w:rFonts w:ascii="Arial" w:hAnsi="Arial"/>
          <w:noProof w:val="0"/>
          <w:rtl/>
        </w:rPr>
        <w:t xml:space="preserve"> </w:t>
      </w:r>
      <w:r>
        <w:rPr>
          <w:rFonts w:hint="cs"/>
          <w:noProof w:val="0"/>
          <w:sz w:val="22"/>
          <w:rtl/>
        </w:rPr>
        <w:t>(</w:t>
      </w:r>
      <w:r w:rsidRPr="00E0662A">
        <w:rPr>
          <w:noProof w:val="0"/>
          <w:sz w:val="22"/>
          <w:rtl/>
        </w:rPr>
        <w:t>פורסם ב</w:t>
      </w:r>
      <w:r>
        <w:rPr>
          <w:rFonts w:hint="cs"/>
          <w:noProof w:val="0"/>
          <w:sz w:val="22"/>
          <w:rtl/>
        </w:rPr>
        <w:t>מאגרי פסיקה אלקטרוניים</w:t>
      </w:r>
      <w:r>
        <w:rPr>
          <w:rFonts w:ascii="Arial" w:hAnsi="Arial" w:hint="cs"/>
          <w:noProof w:val="0"/>
          <w:rtl/>
        </w:rPr>
        <w:t>)</w:t>
      </w:r>
      <w:r w:rsidRPr="00E0662A">
        <w:rPr>
          <w:rFonts w:ascii="Arial" w:hAnsi="Arial"/>
          <w:noProof w:val="0"/>
          <w:rtl/>
        </w:rPr>
        <w:t xml:space="preserve"> וכן, </w:t>
      </w:r>
      <w:hyperlink r:id="rId10" w:history="1">
        <w:r w:rsidRPr="00E0662A">
          <w:rPr>
            <w:rStyle w:val="Hyperlink"/>
            <w:rFonts w:ascii="Arial" w:hAnsi="Arial"/>
            <w:noProof w:val="0"/>
            <w:color w:val="auto"/>
            <w:u w:val="none"/>
            <w:rtl/>
          </w:rPr>
          <w:t xml:space="preserve">ע"א 343/87 </w:t>
        </w:r>
        <w:r w:rsidRPr="00E0662A">
          <w:rPr>
            <w:rStyle w:val="Hyperlink"/>
            <w:rFonts w:ascii="Arial" w:hAnsi="Arial"/>
            <w:b/>
            <w:bCs/>
            <w:noProof w:val="0"/>
            <w:color w:val="auto"/>
            <w:u w:val="none"/>
            <w:rtl/>
          </w:rPr>
          <w:t>פרי נ' פרי</w:t>
        </w:r>
        <w:r w:rsidRPr="00E0662A">
          <w:rPr>
            <w:rStyle w:val="Hyperlink"/>
            <w:rFonts w:ascii="Arial" w:hAnsi="Arial"/>
            <w:noProof w:val="0"/>
            <w:color w:val="auto"/>
            <w:u w:val="none"/>
            <w:rtl/>
          </w:rPr>
          <w:t xml:space="preserve">, </w:t>
        </w:r>
      </w:hyperlink>
      <w:r w:rsidRPr="00E0662A">
        <w:rPr>
          <w:rFonts w:hint="cs"/>
          <w:noProof w:val="0"/>
          <w:sz w:val="22"/>
          <w:rtl/>
        </w:rPr>
        <w:t xml:space="preserve"> </w:t>
      </w:r>
      <w:r>
        <w:rPr>
          <w:rFonts w:hint="cs"/>
          <w:noProof w:val="0"/>
          <w:sz w:val="22"/>
          <w:rtl/>
        </w:rPr>
        <w:t>(</w:t>
      </w:r>
      <w:r w:rsidRPr="00E0662A">
        <w:rPr>
          <w:noProof w:val="0"/>
          <w:sz w:val="22"/>
          <w:rtl/>
        </w:rPr>
        <w:t>פורסם ב</w:t>
      </w:r>
      <w:r>
        <w:rPr>
          <w:rFonts w:hint="cs"/>
          <w:noProof w:val="0"/>
          <w:sz w:val="22"/>
          <w:rtl/>
        </w:rPr>
        <w:t>מאגרי פסיקה אלקטרוניים</w:t>
      </w:r>
      <w:r>
        <w:rPr>
          <w:rFonts w:ascii="Arial" w:hAnsi="Arial" w:hint="cs"/>
          <w:noProof w:val="0"/>
          <w:rtl/>
        </w:rPr>
        <w:t>).</w:t>
      </w:r>
    </w:p>
    <w:p w:rsidR="00AB7D84" w:rsidRDefault="00AB7D84" w:rsidP="00AB7D84">
      <w:pPr>
        <w:pStyle w:val="ad"/>
        <w:spacing w:line="360" w:lineRule="auto"/>
        <w:jc w:val="both"/>
        <w:rPr>
          <w:rFonts w:ascii="Arial" w:hAnsi="Arial"/>
          <w:noProof w:val="0"/>
        </w:rPr>
      </w:pPr>
    </w:p>
    <w:p w:rsidR="003C4B4A" w:rsidRDefault="003C4B4A" w:rsidP="003C4B4A">
      <w:pPr>
        <w:pStyle w:val="ad"/>
        <w:numPr>
          <w:ilvl w:val="0"/>
          <w:numId w:val="8"/>
        </w:numPr>
        <w:spacing w:line="360" w:lineRule="auto"/>
        <w:jc w:val="both"/>
        <w:rPr>
          <w:rFonts w:ascii="Arial" w:hAnsi="Arial"/>
          <w:b/>
          <w:bCs/>
          <w:noProof w:val="0"/>
        </w:rPr>
      </w:pPr>
      <w:r>
        <w:rPr>
          <w:rFonts w:ascii="Arial" w:hAnsi="Arial" w:hint="cs"/>
          <w:noProof w:val="0"/>
          <w:rtl/>
        </w:rPr>
        <w:t>עוד יובהר כי לא ניתן להתייחס ל"תנאי למתנה", בנוגע לתנאי שאינו מופיע בחוזה המתנה בצורה ברורה ומפורשת (</w:t>
      </w:r>
      <w:r w:rsidRPr="004B0E56">
        <w:rPr>
          <w:rFonts w:ascii="Arial" w:hAnsi="Arial" w:hint="cs"/>
          <w:b/>
          <w:bCs/>
          <w:noProof w:val="0"/>
          <w:rtl/>
        </w:rPr>
        <w:t>ר' לענין זה ע"א 384/88 זיסרמן נ' זיסרמן (פורסם במאגרי פסיקה אלקטרוניים).</w:t>
      </w:r>
    </w:p>
    <w:p w:rsidR="00AB7D84" w:rsidRPr="00AB7D84" w:rsidRDefault="00AB7D84" w:rsidP="00AB7D84">
      <w:pPr>
        <w:pStyle w:val="ad"/>
        <w:rPr>
          <w:rFonts w:ascii="Arial" w:hAnsi="Arial"/>
          <w:b/>
          <w:bCs/>
          <w:noProof w:val="0"/>
          <w:rtl/>
        </w:rPr>
      </w:pPr>
    </w:p>
    <w:p w:rsidR="00022B18" w:rsidRPr="00022B18" w:rsidRDefault="0040044E" w:rsidP="00022B18">
      <w:pPr>
        <w:pStyle w:val="ad"/>
        <w:numPr>
          <w:ilvl w:val="0"/>
          <w:numId w:val="8"/>
        </w:numPr>
        <w:spacing w:line="360" w:lineRule="auto"/>
        <w:jc w:val="both"/>
        <w:rPr>
          <w:rFonts w:ascii="David" w:hAnsi="David"/>
          <w:noProof w:val="0"/>
        </w:rPr>
      </w:pPr>
      <w:hyperlink r:id="rId11" w:history="1">
        <w:r w:rsidR="00022B18" w:rsidRPr="00022B18">
          <w:rPr>
            <w:rStyle w:val="Hyperlink"/>
            <w:rFonts w:ascii="David" w:hAnsi="David"/>
            <w:color w:val="auto"/>
            <w:rtl/>
          </w:rPr>
          <w:t>סעיף 4</w:t>
        </w:r>
      </w:hyperlink>
      <w:r w:rsidR="00022B18" w:rsidRPr="00022B18">
        <w:rPr>
          <w:rFonts w:ascii="David" w:hAnsi="David"/>
          <w:rtl/>
        </w:rPr>
        <w:t xml:space="preserve"> ל</w:t>
      </w:r>
      <w:hyperlink r:id="rId12" w:history="1">
        <w:r w:rsidR="00022B18" w:rsidRPr="00022B18">
          <w:rPr>
            <w:rStyle w:val="Hyperlink"/>
            <w:rFonts w:ascii="David" w:hAnsi="David"/>
            <w:color w:val="auto"/>
            <w:rtl/>
          </w:rPr>
          <w:t>חוק המתנה</w:t>
        </w:r>
      </w:hyperlink>
      <w:r w:rsidR="00022B18" w:rsidRPr="00022B18">
        <w:rPr>
          <w:rFonts w:ascii="David" w:hAnsi="David"/>
          <w:rtl/>
        </w:rPr>
        <w:t>, התשכ"ח – 1968 (להלן: "</w:t>
      </w:r>
      <w:r w:rsidR="00022B18" w:rsidRPr="00022B18">
        <w:rPr>
          <w:rFonts w:ascii="David" w:hAnsi="David"/>
          <w:b/>
          <w:bCs/>
          <w:rtl/>
        </w:rPr>
        <w:t>חוק המתנה</w:t>
      </w:r>
      <w:r w:rsidR="00022B18" w:rsidRPr="00022B18">
        <w:rPr>
          <w:rFonts w:ascii="David" w:hAnsi="David"/>
          <w:rtl/>
        </w:rPr>
        <w:t>") קובע:</w:t>
      </w:r>
    </w:p>
    <w:p w:rsidR="00022B18" w:rsidRPr="00022B18" w:rsidRDefault="00022B18" w:rsidP="00022B18">
      <w:pPr>
        <w:pStyle w:val="ad"/>
        <w:spacing w:line="360" w:lineRule="auto"/>
        <w:jc w:val="both"/>
        <w:rPr>
          <w:rFonts w:ascii="David" w:hAnsi="David"/>
          <w:rtl/>
        </w:rPr>
      </w:pPr>
      <w:r w:rsidRPr="00022B18">
        <w:rPr>
          <w:rFonts w:ascii="David" w:hAnsi="David"/>
          <w:rtl/>
        </w:rPr>
        <w:t>"</w:t>
      </w:r>
      <w:r w:rsidRPr="00022B18">
        <w:rPr>
          <w:rFonts w:ascii="David" w:hAnsi="David"/>
          <w:b/>
          <w:bCs/>
          <w:rtl/>
        </w:rPr>
        <w:t>מתנה יכול שתהיה על תנאי ויכול שתחייב את המקבל לעשות מעשה בדבר המתנה או להימנע מעשייתו; נותן המתנה רשאי לדרוש מהמקבל את מילוי החיוב, ורשאי לדרוש זאת מי שהחיוב הוא לזכותו, ואם היה בדבר עניין לציבור – היועץ המשפטי לממשלה או בא כוחו".</w:t>
      </w:r>
    </w:p>
    <w:p w:rsidR="00022B18" w:rsidRPr="00022B18" w:rsidRDefault="00022B18" w:rsidP="00022B18">
      <w:pPr>
        <w:pStyle w:val="ad"/>
        <w:spacing w:line="360" w:lineRule="auto"/>
        <w:jc w:val="both"/>
        <w:rPr>
          <w:rFonts w:ascii="David" w:hAnsi="David"/>
          <w:b/>
          <w:bCs/>
          <w:rtl/>
        </w:rPr>
      </w:pPr>
      <w:r w:rsidRPr="00022B18">
        <w:rPr>
          <w:rFonts w:ascii="David" w:hAnsi="David"/>
          <w:rtl/>
        </w:rPr>
        <w:t>הכלל הוא ש"</w:t>
      </w:r>
      <w:r w:rsidRPr="00022B18">
        <w:rPr>
          <w:rFonts w:ascii="David" w:hAnsi="David"/>
          <w:b/>
          <w:bCs/>
          <w:rtl/>
        </w:rPr>
        <w:t>מתן מתנה בתנאי מחייבת התניה מפורשת, הגלויה גם למקבל המתנה"</w:t>
      </w:r>
      <w:r w:rsidRPr="00022B18">
        <w:rPr>
          <w:rFonts w:ascii="David" w:hAnsi="David"/>
          <w:rtl/>
        </w:rPr>
        <w:t xml:space="preserve"> (ר' בספרו של פרופ' ראבילו, "</w:t>
      </w:r>
      <w:hyperlink r:id="rId13" w:history="1">
        <w:r w:rsidRPr="00022B18">
          <w:rPr>
            <w:rStyle w:val="Hyperlink"/>
            <w:rFonts w:ascii="David" w:hAnsi="David"/>
            <w:b/>
            <w:bCs/>
            <w:color w:val="auto"/>
            <w:rtl/>
          </w:rPr>
          <w:t>חוק המתנה</w:t>
        </w:r>
      </w:hyperlink>
      <w:r w:rsidRPr="00022B18">
        <w:rPr>
          <w:rFonts w:ascii="David" w:hAnsi="David"/>
          <w:b/>
          <w:bCs/>
          <w:rtl/>
        </w:rPr>
        <w:t>, תשכ"ח – 1968</w:t>
      </w:r>
      <w:r w:rsidRPr="00022B18">
        <w:rPr>
          <w:rFonts w:ascii="David" w:hAnsi="David"/>
          <w:rtl/>
        </w:rPr>
        <w:t>" (מהדורה שניה) בעמ' 299)</w:t>
      </w:r>
      <w:r w:rsidRPr="00022B18">
        <w:rPr>
          <w:rFonts w:ascii="David" w:hAnsi="David"/>
          <w:b/>
          <w:bCs/>
          <w:rtl/>
        </w:rPr>
        <w:t xml:space="preserve">. </w:t>
      </w:r>
      <w:r w:rsidRPr="00022B18">
        <w:rPr>
          <w:rFonts w:ascii="David" w:hAnsi="David"/>
          <w:rtl/>
        </w:rPr>
        <w:t>ראה בעניין זה את דבריו של הנשיא שמגר (כתוארו אז) ב</w:t>
      </w:r>
      <w:hyperlink r:id="rId14" w:history="1">
        <w:r w:rsidRPr="00022B18">
          <w:rPr>
            <w:rStyle w:val="Hyperlink"/>
            <w:rFonts w:ascii="David" w:hAnsi="David"/>
            <w:color w:val="auto"/>
            <w:rtl/>
          </w:rPr>
          <w:t>ע"א 343/87 פרי נ' פרי, פ"ד מד</w:t>
        </w:r>
      </w:hyperlink>
      <w:r w:rsidRPr="00022B18">
        <w:rPr>
          <w:rFonts w:ascii="David" w:hAnsi="David"/>
          <w:rtl/>
        </w:rPr>
        <w:t>(2) 154, בעמ' 164:</w:t>
      </w:r>
    </w:p>
    <w:p w:rsidR="00022B18" w:rsidRPr="00022B18" w:rsidRDefault="00022B18" w:rsidP="00022B18">
      <w:pPr>
        <w:pStyle w:val="ad"/>
        <w:spacing w:line="360" w:lineRule="auto"/>
        <w:jc w:val="both"/>
        <w:rPr>
          <w:rFonts w:ascii="David" w:hAnsi="David"/>
          <w:rtl/>
        </w:rPr>
      </w:pPr>
      <w:r w:rsidRPr="00022B18">
        <w:rPr>
          <w:rFonts w:ascii="David" w:hAnsi="David"/>
          <w:rtl/>
        </w:rPr>
        <w:t>"</w:t>
      </w:r>
      <w:r w:rsidRPr="00022B18">
        <w:rPr>
          <w:rFonts w:ascii="David" w:hAnsi="David"/>
          <w:b/>
          <w:bCs/>
          <w:rtl/>
        </w:rPr>
        <w:t xml:space="preserve">מי שמבקש להתנות מתנה בתנאי מפסיק... צריך לעשות זאת בצורה ברורה הניתנת לזיהוי. אינני רואה מקום לחייב דווקא אופן התנאה או חיוב מסוימים אך צריך להיות מדובר בעניין שניתן לגלותו תוך בחינה של אומד דעת הצדדים או תוך שמיעת ראיות על דברים שהוחלפו ביניהם בעל פה או בכתב". </w:t>
      </w:r>
    </w:p>
    <w:p w:rsidR="00022B18" w:rsidRPr="00022B18" w:rsidRDefault="00022B18" w:rsidP="00022B18">
      <w:pPr>
        <w:pStyle w:val="ad"/>
        <w:spacing w:line="360" w:lineRule="auto"/>
        <w:jc w:val="both"/>
        <w:rPr>
          <w:rFonts w:ascii="David" w:hAnsi="David"/>
          <w:rtl/>
        </w:rPr>
      </w:pPr>
      <w:r w:rsidRPr="00022B18">
        <w:rPr>
          <w:rFonts w:ascii="David" w:hAnsi="David"/>
          <w:rtl/>
        </w:rPr>
        <w:t>ר</w:t>
      </w:r>
      <w:r>
        <w:rPr>
          <w:rFonts w:ascii="David" w:hAnsi="David" w:hint="cs"/>
          <w:rtl/>
        </w:rPr>
        <w:t>'</w:t>
      </w:r>
      <w:r w:rsidRPr="00022B18">
        <w:rPr>
          <w:rFonts w:ascii="David" w:hAnsi="David"/>
          <w:rtl/>
        </w:rPr>
        <w:t xml:space="preserve"> לעניין זה גם את </w:t>
      </w:r>
      <w:hyperlink r:id="rId15" w:history="1">
        <w:r w:rsidRPr="00022B18">
          <w:rPr>
            <w:rStyle w:val="Hyperlink"/>
            <w:rFonts w:ascii="David" w:hAnsi="David"/>
            <w:rtl/>
          </w:rPr>
          <w:t>ע"א 635/84</w:t>
        </w:r>
      </w:hyperlink>
      <w:r w:rsidRPr="00022B18">
        <w:rPr>
          <w:rFonts w:ascii="David" w:hAnsi="David"/>
          <w:rtl/>
        </w:rPr>
        <w:t xml:space="preserve"> </w:t>
      </w:r>
      <w:r w:rsidRPr="00022B18">
        <w:rPr>
          <w:rFonts w:ascii="David" w:hAnsi="David"/>
          <w:b/>
          <w:bCs/>
          <w:u w:val="single"/>
          <w:rtl/>
        </w:rPr>
        <w:t>יעקב עידן נ' מרדכי עדתו</w:t>
      </w:r>
      <w:r w:rsidRPr="00022B18">
        <w:rPr>
          <w:rFonts w:ascii="David" w:hAnsi="David"/>
          <w:rtl/>
        </w:rPr>
        <w:t>, [פורסם בנבו] שם פסק כב' השופט בך:</w:t>
      </w:r>
    </w:p>
    <w:p w:rsidR="00022B18" w:rsidRPr="00022B18" w:rsidRDefault="00022B18" w:rsidP="00022B18">
      <w:pPr>
        <w:pStyle w:val="ad"/>
        <w:spacing w:line="360" w:lineRule="auto"/>
        <w:jc w:val="both"/>
        <w:rPr>
          <w:rFonts w:ascii="David" w:hAnsi="David"/>
          <w:b/>
          <w:bCs/>
          <w:rtl/>
        </w:rPr>
      </w:pPr>
      <w:r w:rsidRPr="00022B18">
        <w:rPr>
          <w:rFonts w:ascii="David" w:hAnsi="David"/>
          <w:b/>
          <w:bCs/>
          <w:rtl/>
        </w:rPr>
        <w:t>"תנאי</w:t>
      </w:r>
      <w:r w:rsidRPr="00022B18">
        <w:rPr>
          <w:rFonts w:ascii="David" w:hAnsi="David"/>
          <w:rtl/>
        </w:rPr>
        <w:t xml:space="preserve"> </w:t>
      </w:r>
      <w:r w:rsidRPr="00022B18">
        <w:rPr>
          <w:rFonts w:ascii="David" w:hAnsi="David"/>
          <w:b/>
          <w:bCs/>
          <w:rtl/>
        </w:rPr>
        <w:t xml:space="preserve">מתלה, מפאת חשיבותו והשפעתו על קיום החוזה, מקומו הטבעי הוא </w:t>
      </w:r>
      <w:r w:rsidRPr="00022B18">
        <w:rPr>
          <w:rFonts w:ascii="David" w:hAnsi="David"/>
          <w:b/>
          <w:bCs/>
          <w:u w:val="single"/>
          <w:rtl/>
        </w:rPr>
        <w:t>בחוזה עצמו</w:t>
      </w:r>
      <w:r w:rsidRPr="00022B18">
        <w:rPr>
          <w:rFonts w:ascii="David" w:hAnsi="David"/>
          <w:b/>
          <w:bCs/>
          <w:rtl/>
        </w:rPr>
        <w:t xml:space="preserve">. משאין הוא מצוי בחוזה, </w:t>
      </w:r>
      <w:r w:rsidRPr="00022B18">
        <w:rPr>
          <w:rFonts w:ascii="David" w:hAnsi="David"/>
          <w:b/>
          <w:bCs/>
          <w:u w:val="single"/>
          <w:rtl/>
        </w:rPr>
        <w:t>דרוש הסבר משכנע</w:t>
      </w:r>
      <w:r w:rsidRPr="00022B18">
        <w:rPr>
          <w:rFonts w:ascii="David" w:hAnsi="David"/>
          <w:b/>
          <w:bCs/>
          <w:rtl/>
        </w:rPr>
        <w:t xml:space="preserve"> מדוע ייחשב הוא לתנאי שכל תוקף החוזה תלוי בו". </w:t>
      </w:r>
    </w:p>
    <w:p w:rsidR="00022B18" w:rsidRPr="00022B18" w:rsidRDefault="00022B18" w:rsidP="00AB7D84">
      <w:pPr>
        <w:pStyle w:val="ad"/>
        <w:spacing w:line="360" w:lineRule="auto"/>
        <w:jc w:val="both"/>
        <w:rPr>
          <w:rFonts w:ascii="David" w:hAnsi="David"/>
          <w:b/>
          <w:bCs/>
          <w:rtl/>
        </w:rPr>
      </w:pPr>
      <w:r w:rsidRPr="00022B18">
        <w:rPr>
          <w:rFonts w:ascii="David" w:hAnsi="David"/>
          <w:b/>
          <w:bCs/>
          <w:rtl/>
        </w:rPr>
        <w:t xml:space="preserve">הטעם לכך </w:t>
      </w:r>
      <w:r w:rsidRPr="00022B18">
        <w:rPr>
          <w:rFonts w:ascii="David" w:hAnsi="David" w:hint="cs"/>
          <w:b/>
          <w:bCs/>
          <w:rtl/>
        </w:rPr>
        <w:t xml:space="preserve">ברור ומובהק </w:t>
      </w:r>
      <w:r w:rsidRPr="00022B18">
        <w:rPr>
          <w:rFonts w:ascii="David" w:hAnsi="David"/>
          <w:b/>
          <w:bCs/>
          <w:rtl/>
        </w:rPr>
        <w:t>–</w:t>
      </w:r>
      <w:r w:rsidRPr="00022B18">
        <w:rPr>
          <w:rFonts w:ascii="David" w:hAnsi="David" w:hint="cs"/>
          <w:b/>
          <w:bCs/>
          <w:rtl/>
        </w:rPr>
        <w:t xml:space="preserve"> במועד עריכת חוזה המתנה, יכולים הצדדים לבחור לפרט את תנאי חוזה המתנה, את המניעים המסתתרים, או שאינם מ</w:t>
      </w:r>
      <w:r w:rsidR="00AB7D84">
        <w:rPr>
          <w:rFonts w:ascii="David" w:hAnsi="David" w:hint="cs"/>
          <w:b/>
          <w:bCs/>
          <w:rtl/>
        </w:rPr>
        <w:t xml:space="preserve">סתתרים מאחורי רצונם להעניק לאחר. </w:t>
      </w:r>
      <w:r w:rsidRPr="00022B18">
        <w:rPr>
          <w:rFonts w:ascii="David" w:hAnsi="David" w:hint="cs"/>
          <w:b/>
          <w:bCs/>
          <w:rtl/>
        </w:rPr>
        <w:t xml:space="preserve">במקרים בהם </w:t>
      </w:r>
      <w:r w:rsidR="00AB7D84">
        <w:rPr>
          <w:rFonts w:ascii="David" w:hAnsi="David" w:hint="cs"/>
          <w:b/>
          <w:bCs/>
          <w:rtl/>
        </w:rPr>
        <w:t>בחרו שלא לציין תנאי כזה ו</w:t>
      </w:r>
      <w:r w:rsidRPr="00022B18">
        <w:rPr>
          <w:rFonts w:ascii="David" w:hAnsi="David" w:hint="cs"/>
          <w:b/>
          <w:bCs/>
          <w:rtl/>
        </w:rPr>
        <w:t>מתעורר סכסוך משפחתי כמו בענייננו על ביהמ"ש לבאר את כוונות הצדדים מתוך הנסיבות.</w:t>
      </w:r>
    </w:p>
    <w:p w:rsidR="00022B18" w:rsidRPr="00022B18" w:rsidRDefault="00022B18" w:rsidP="00022B18">
      <w:pPr>
        <w:pStyle w:val="ad"/>
        <w:spacing w:line="360" w:lineRule="auto"/>
        <w:jc w:val="both"/>
        <w:rPr>
          <w:rFonts w:ascii="David" w:hAnsi="David"/>
          <w:b/>
          <w:bCs/>
          <w:rtl/>
        </w:rPr>
      </w:pPr>
      <w:r w:rsidRPr="00AB7D84">
        <w:rPr>
          <w:rFonts w:ascii="David" w:hAnsi="David" w:hint="cs"/>
          <w:b/>
          <w:bCs/>
          <w:u w:val="single"/>
          <w:rtl/>
        </w:rPr>
        <w:t>על פניו נראה נכון להידרש אך ורק לעובדה שבחוזה המתנה לא צוין כל תנאי, אך למען הזהירות נדרשתי בפס"ד זה גם לנסיבות האופפות את עריכת חוזה המתנה והתנהלות הצדדים קודם לעריכתו ולאחר עריכתו</w:t>
      </w:r>
      <w:r w:rsidRPr="00022B18">
        <w:rPr>
          <w:rFonts w:ascii="David" w:hAnsi="David" w:hint="cs"/>
          <w:b/>
          <w:bCs/>
          <w:rtl/>
        </w:rPr>
        <w:t xml:space="preserve">. </w:t>
      </w:r>
      <w:r w:rsidRPr="00022B18">
        <w:rPr>
          <w:rFonts w:ascii="David" w:hAnsi="David"/>
          <w:b/>
          <w:bCs/>
          <w:rtl/>
        </w:rPr>
        <w:t xml:space="preserve">        </w:t>
      </w:r>
    </w:p>
    <w:p w:rsidR="00022B18" w:rsidRPr="00022B18" w:rsidRDefault="00022B18" w:rsidP="00022B18">
      <w:pPr>
        <w:pStyle w:val="ad"/>
        <w:spacing w:line="360" w:lineRule="auto"/>
        <w:jc w:val="both"/>
        <w:rPr>
          <w:rFonts w:ascii="Arial" w:hAnsi="Arial"/>
          <w:b/>
          <w:bCs/>
          <w:noProof w:val="0"/>
        </w:rPr>
      </w:pPr>
    </w:p>
    <w:p w:rsidR="00E73741" w:rsidRPr="00E73741" w:rsidRDefault="003C4B4A" w:rsidP="003C4B4A">
      <w:pPr>
        <w:pStyle w:val="ad"/>
        <w:numPr>
          <w:ilvl w:val="0"/>
          <w:numId w:val="8"/>
        </w:numPr>
        <w:spacing w:line="360" w:lineRule="auto"/>
        <w:jc w:val="both"/>
        <w:rPr>
          <w:rFonts w:ascii="David" w:hAnsi="David"/>
        </w:rPr>
      </w:pPr>
      <w:r>
        <w:rPr>
          <w:rFonts w:ascii="David" w:hAnsi="David" w:hint="cs"/>
          <w:rtl/>
        </w:rPr>
        <w:t xml:space="preserve">בעניננו </w:t>
      </w:r>
      <w:r w:rsidR="00E73741" w:rsidRPr="00E73741">
        <w:rPr>
          <w:rFonts w:ascii="David" w:hAnsi="David"/>
          <w:rtl/>
        </w:rPr>
        <w:t xml:space="preserve">הוכח מעל לכל ספק שאותה מתנה </w:t>
      </w:r>
      <w:r>
        <w:rPr>
          <w:rFonts w:ascii="David" w:hAnsi="David" w:hint="cs"/>
          <w:rtl/>
        </w:rPr>
        <w:t xml:space="preserve">שהוענקה כבר בשנת 2012, </w:t>
      </w:r>
      <w:r w:rsidR="00E73741" w:rsidRPr="00E73741">
        <w:rPr>
          <w:rFonts w:ascii="David" w:hAnsi="David"/>
          <w:rtl/>
        </w:rPr>
        <w:t>באה לפצות ולו במעט את הנתבעת על המחירים האישיים והמשפחתיים ששילמה בגין התמסרותה לאמה לאורך שנים רבות והוויתורים הרבים שנאלצה לעשות כפועל יוצא מכך, ובמיוחד מאז שנת, 2009 אז חלה אביה המנוח והיא פשוטו כמשמעו ביטלה את עצמה והקדישה את רוב עיתותיה לטיפול הבלעדי בהוריה, התובעת ובעלה המנוח.</w:t>
      </w:r>
    </w:p>
    <w:p w:rsidR="00E73741" w:rsidRDefault="00E73741" w:rsidP="00E73741">
      <w:pPr>
        <w:pStyle w:val="ad"/>
        <w:spacing w:line="360" w:lineRule="auto"/>
        <w:jc w:val="both"/>
        <w:rPr>
          <w:rFonts w:ascii="David" w:hAnsi="David"/>
          <w:b/>
          <w:bCs/>
          <w:u w:val="single"/>
          <w:rtl/>
        </w:rPr>
      </w:pPr>
      <w:r w:rsidRPr="00E73741">
        <w:rPr>
          <w:rFonts w:ascii="David" w:hAnsi="David"/>
          <w:b/>
          <w:bCs/>
          <w:rtl/>
        </w:rPr>
        <w:t xml:space="preserve">התובעת לא הצליחה להוכיח כי אכן העניקה מתנה שתנאי בצדה או חיוב מוטל בצדו ו/או מתנה בתנאי מתלה המאפשר לתובעת לחזור בה. התובעת בשלל גרסאותיה המשתנות הציגה עמדה בלתי יציבה, תוך שאינה מסוגלת להסביר מדוע בזמן אמת, בעודה מיוצגת ע"י עו"ד שמכיר אותה היטב וכאשר רעייתו המנהלת את משרדו מצויה עימה בהכרות עמוקה של עשרות שנים, לא בא זכרו של התנאי הלכאורי הנטען על ידה בשלל המסמכים שנחתמו והוכנו על ידי עוה"ד הנ"ל. </w:t>
      </w:r>
      <w:r w:rsidRPr="00E73741">
        <w:rPr>
          <w:rFonts w:ascii="David" w:hAnsi="David"/>
          <w:rtl/>
        </w:rPr>
        <w:t xml:space="preserve">לא זו בלבד שלא השתכנעתי שהתובעת התכוונה לשילובו של אותו תנאי בהסכם המתנה אלא שהוכח מעל לכל ספק כי בפועל התובעת לא ביקשה להעמיד כל תנאי כפי שטענה הנתבעת מלכתחילה. </w:t>
      </w:r>
      <w:r w:rsidRPr="00E73741">
        <w:rPr>
          <w:rFonts w:ascii="David" w:hAnsi="David"/>
          <w:b/>
          <w:bCs/>
          <w:u w:val="single"/>
          <w:rtl/>
        </w:rPr>
        <w:t xml:space="preserve">אני מקבלת את טענת הנתבעת שהגב' </w:t>
      </w:r>
      <w:r w:rsidR="00642BE8">
        <w:rPr>
          <w:rFonts w:ascii="David" w:hAnsi="David"/>
          <w:b/>
          <w:bCs/>
          <w:u w:val="single"/>
          <w:rtl/>
        </w:rPr>
        <w:t>י'</w:t>
      </w:r>
      <w:r w:rsidRPr="00E73741">
        <w:rPr>
          <w:rFonts w:ascii="David" w:hAnsi="David"/>
          <w:b/>
          <w:bCs/>
          <w:u w:val="single"/>
          <w:rtl/>
        </w:rPr>
        <w:t xml:space="preserve"> שיתפה אותה כי היא עצמה בעקבות מה ששמעה מהתובעת לאורך שנים, המליצה לתובעת שלא להסתפק בצוואה שנערכה על ידה ואשר העתקה נמסר לנתבעת, אלא להעביר עוד בחייה את הדירה ללא כחל ושרק, ללא תנאי כלשהו וללא חיוב לנתבעת, וזאת למעשה בתמורה לכל אשר זו העניקה עד מועד המתנה, לאמה התובעת.</w:t>
      </w:r>
    </w:p>
    <w:p w:rsidR="00AB7D84" w:rsidRPr="00E73741" w:rsidRDefault="00AB7D84" w:rsidP="00E73741">
      <w:pPr>
        <w:pStyle w:val="ad"/>
        <w:spacing w:line="360" w:lineRule="auto"/>
        <w:jc w:val="both"/>
        <w:rPr>
          <w:rFonts w:ascii="David" w:hAnsi="David"/>
          <w:b/>
          <w:bCs/>
          <w:u w:val="single"/>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למעשה המצג העובדתי שהוצג לבית המשפט ע"י שני הצדדים הציג מצג של מתנה שנועדה לפצות את הנתבעת על מה שכבר נתנה, כך שלמעשה אין לומר אפילו שמדובר היה במתנה ללא תמורה, אלא ניכר מגרסאות הצדדים כי מדובר היה במתנה בתמורה לכל אשר ניתן כבר ע"י הנתבעת בשנים הרבות שקדמו למתנה.</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b/>
          <w:bCs/>
          <w:u w:val="single"/>
        </w:rPr>
      </w:pPr>
      <w:r w:rsidRPr="00E73741">
        <w:rPr>
          <w:rFonts w:ascii="David" w:hAnsi="David"/>
          <w:rtl/>
        </w:rPr>
        <w:t xml:space="preserve">לא בכדי אותה תובעת בחרה להבטיח את רצונה שהיה ברור ומובהק שלא רק להעניק לנתבעת באמצעות צוואה את הזכויות לאחר פטירתה שתיבדל לחיים ארוכים, אלא </w:t>
      </w:r>
      <w:r w:rsidRPr="00E73741">
        <w:rPr>
          <w:rFonts w:ascii="David" w:hAnsi="David"/>
          <w:b/>
          <w:bCs/>
          <w:u w:val="single"/>
          <w:rtl/>
        </w:rPr>
        <w:t xml:space="preserve">התובעת לא הכחישה כי היא זו אשר יזמה את הפגישה במשרדו של עו"ד </w:t>
      </w:r>
      <w:r w:rsidR="00642BE8">
        <w:rPr>
          <w:rFonts w:ascii="David" w:hAnsi="David"/>
          <w:b/>
          <w:bCs/>
          <w:u w:val="single"/>
          <w:rtl/>
        </w:rPr>
        <w:t>א'</w:t>
      </w:r>
      <w:r w:rsidRPr="00E73741">
        <w:rPr>
          <w:rFonts w:ascii="David" w:hAnsi="David"/>
          <w:b/>
          <w:bCs/>
          <w:u w:val="single"/>
          <w:rtl/>
        </w:rPr>
        <w:t>, את עריכת תצהירי המתנה, ובמשך שנים לאחר מכן לא פעלה בשום דרך להוסיף כל תנאי לתצהירי המתנה.</w:t>
      </w:r>
    </w:p>
    <w:p w:rsidR="00437F7F" w:rsidRPr="00E73741" w:rsidRDefault="00437F7F" w:rsidP="00437F7F">
      <w:pPr>
        <w:pStyle w:val="ad"/>
        <w:spacing w:line="360" w:lineRule="auto"/>
        <w:jc w:val="both"/>
        <w:rPr>
          <w:rFonts w:ascii="David" w:hAnsi="David"/>
          <w:b/>
          <w:bCs/>
          <w:u w:val="single"/>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יוזכר כי למעשה התובעת היא זו שבחרה להרחיב את המתנה באופן שקבעה שההענקה לא תינתן לאחר פטירתה במסגרת צוואתה, אלא עמדה על כך שתינתן מתנה עוד בחייה, דבר שמלמד את בית המשפט על כך שהתובעת ידעה לקבל בעת הרלוונטית ייעוץ משפטי לצורך הבטחת ביצוע רצונה להעניק מתנה לבתה, ללא תנאי וללא עיכוב. </w:t>
      </w:r>
    </w:p>
    <w:p w:rsidR="00437F7F" w:rsidRDefault="00437F7F" w:rsidP="00437F7F">
      <w:pPr>
        <w:pStyle w:val="ad"/>
        <w:spacing w:line="360" w:lineRule="auto"/>
        <w:jc w:val="both"/>
        <w:rPr>
          <w:rFonts w:ascii="David" w:hAnsi="David"/>
        </w:rPr>
      </w:pPr>
    </w:p>
    <w:p w:rsidR="004B0E56" w:rsidRDefault="004B0E56" w:rsidP="00021BA2">
      <w:pPr>
        <w:pStyle w:val="ad"/>
        <w:numPr>
          <w:ilvl w:val="0"/>
          <w:numId w:val="8"/>
        </w:numPr>
        <w:spacing w:line="360" w:lineRule="auto"/>
        <w:jc w:val="both"/>
        <w:rPr>
          <w:rFonts w:ascii="David" w:hAnsi="David"/>
        </w:rPr>
      </w:pPr>
      <w:r>
        <w:rPr>
          <w:rFonts w:ascii="David" w:hAnsi="David" w:hint="cs"/>
          <w:rtl/>
        </w:rPr>
        <w:t>כא</w:t>
      </w:r>
      <w:r w:rsidR="00021BA2">
        <w:rPr>
          <w:rFonts w:ascii="David" w:hAnsi="David" w:hint="cs"/>
          <w:rtl/>
        </w:rPr>
        <w:t>ן</w:t>
      </w:r>
      <w:r>
        <w:rPr>
          <w:rFonts w:ascii="David" w:hAnsi="David" w:hint="cs"/>
          <w:rtl/>
        </w:rPr>
        <w:t xml:space="preserve"> ראוי להפנות כי הכללים הפרשניים מחייבים אותנו להניח כי זה אשר יזם את החוזה (בענייננו חוזה המתנה שהתובעת יזמה את יצירתו </w:t>
      </w:r>
      <w:r w:rsidR="00021BA2">
        <w:rPr>
          <w:rFonts w:ascii="David" w:hAnsi="David" w:hint="cs"/>
          <w:rtl/>
        </w:rPr>
        <w:t>וקבעה את ניסוחו באמצעות עו"ד מטעמה שהיא עצמה הדגישה כי הוא ואשתו היו מקורבים אליה שנים רבות) הוא אשר יש לייחס לו את החובה להניח בתוך החוזה את התנאים והפרטים ולא יישמע בטענה "לא ידעתי, לא בדקתי, לא נכתב מה שביקשתי".</w:t>
      </w:r>
    </w:p>
    <w:p w:rsidR="00437F7F" w:rsidRDefault="00437F7F" w:rsidP="00437F7F">
      <w:pPr>
        <w:pStyle w:val="ad"/>
        <w:spacing w:line="360" w:lineRule="auto"/>
        <w:jc w:val="both"/>
        <w:rPr>
          <w:rFonts w:ascii="David" w:hAnsi="David"/>
        </w:rPr>
      </w:pPr>
    </w:p>
    <w:p w:rsidR="00021BA2" w:rsidRDefault="00021BA2" w:rsidP="00021BA2">
      <w:pPr>
        <w:pStyle w:val="ad"/>
        <w:numPr>
          <w:ilvl w:val="0"/>
          <w:numId w:val="8"/>
        </w:numPr>
        <w:spacing w:line="360" w:lineRule="auto"/>
        <w:jc w:val="both"/>
        <w:rPr>
          <w:rFonts w:ascii="Arial" w:hAnsi="Arial"/>
          <w:noProof w:val="0"/>
        </w:rPr>
      </w:pPr>
      <w:r w:rsidRPr="00021BA2">
        <w:rPr>
          <w:rFonts w:ascii="Arial" w:hAnsi="Arial"/>
          <w:noProof w:val="0"/>
          <w:rtl/>
        </w:rPr>
        <w:t xml:space="preserve">אדם צריך לקיים את </w:t>
      </w:r>
      <w:r w:rsidRPr="00021BA2">
        <w:rPr>
          <w:rFonts w:ascii="Arial" w:hAnsi="Arial" w:hint="cs"/>
          <w:noProof w:val="0"/>
          <w:rtl/>
        </w:rPr>
        <w:t xml:space="preserve">תנאי החוזה עליו חתם (ר' לענין זה </w:t>
      </w:r>
      <w:hyperlink r:id="rId16" w:history="1">
        <w:r w:rsidRPr="00021BA2">
          <w:rPr>
            <w:rStyle w:val="Hyperlink"/>
            <w:rFonts w:ascii="Arial" w:hAnsi="Arial"/>
            <w:b/>
            <w:bCs/>
            <w:noProof w:val="0"/>
            <w:color w:val="auto"/>
            <w:rtl/>
          </w:rPr>
          <w:t>ע"א 1632/98 ארבוס נ' רובינשטיין</w:t>
        </w:r>
        <w:r w:rsidRPr="00021BA2">
          <w:rPr>
            <w:rStyle w:val="Hyperlink"/>
            <w:rFonts w:ascii="Arial" w:hAnsi="Arial"/>
            <w:noProof w:val="0"/>
            <w:color w:val="auto"/>
            <w:rtl/>
          </w:rPr>
          <w:t xml:space="preserve"> ושות', </w:t>
        </w:r>
      </w:hyperlink>
      <w:r w:rsidRPr="00021BA2">
        <w:rPr>
          <w:rFonts w:ascii="Arial" w:hAnsi="Arial" w:hint="cs"/>
          <w:noProof w:val="0"/>
          <w:rtl/>
        </w:rPr>
        <w:t>(פורסם במאגרי פסיקה אלקטרוניים)</w:t>
      </w:r>
      <w:r w:rsidRPr="00021BA2">
        <w:rPr>
          <w:rFonts w:ascii="Arial" w:hAnsi="Arial"/>
          <w:noProof w:val="0"/>
          <w:rtl/>
        </w:rPr>
        <w:t xml:space="preserve">. </w:t>
      </w:r>
    </w:p>
    <w:p w:rsidR="00437F7F" w:rsidRPr="00021BA2" w:rsidRDefault="00437F7F" w:rsidP="00437F7F">
      <w:pPr>
        <w:pStyle w:val="ad"/>
        <w:spacing w:line="360" w:lineRule="auto"/>
        <w:jc w:val="both"/>
        <w:rPr>
          <w:rFonts w:ascii="Arial" w:hAnsi="Arial"/>
          <w:noProof w:val="0"/>
        </w:rPr>
      </w:pPr>
    </w:p>
    <w:p w:rsidR="00E73741" w:rsidRPr="00437F7F" w:rsidRDefault="00021BA2" w:rsidP="00642BE8">
      <w:pPr>
        <w:pStyle w:val="ad"/>
        <w:numPr>
          <w:ilvl w:val="0"/>
          <w:numId w:val="8"/>
        </w:numPr>
        <w:spacing w:line="360" w:lineRule="auto"/>
        <w:jc w:val="both"/>
        <w:rPr>
          <w:rFonts w:ascii="David" w:hAnsi="David"/>
          <w:b/>
          <w:bCs/>
          <w:u w:val="single"/>
        </w:rPr>
      </w:pPr>
      <w:r>
        <w:rPr>
          <w:rFonts w:ascii="David" w:hAnsi="David" w:hint="cs"/>
          <w:rtl/>
        </w:rPr>
        <w:t xml:space="preserve">יתר על כן, בענייננו, </w:t>
      </w:r>
      <w:r w:rsidR="00E73741" w:rsidRPr="00437F7F">
        <w:rPr>
          <w:rFonts w:ascii="David" w:hAnsi="David"/>
          <w:b/>
          <w:bCs/>
          <w:u w:val="single"/>
          <w:rtl/>
        </w:rPr>
        <w:t xml:space="preserve">בטווח הזמן שבין חתימת תצהירי המתנה לחתימת שטרי המכר, דבר לא מנע מהתובעת לגשת לעו"ד </w:t>
      </w:r>
      <w:r w:rsidR="00642BE8">
        <w:rPr>
          <w:rFonts w:ascii="David" w:hAnsi="David"/>
          <w:b/>
          <w:bCs/>
          <w:u w:val="single"/>
          <w:rtl/>
        </w:rPr>
        <w:t>א'</w:t>
      </w:r>
      <w:r w:rsidR="00E73741" w:rsidRPr="00437F7F">
        <w:rPr>
          <w:rFonts w:ascii="David" w:hAnsi="David"/>
          <w:b/>
          <w:bCs/>
          <w:u w:val="single"/>
          <w:rtl/>
        </w:rPr>
        <w:t xml:space="preserve"> ולבקש ממנו לתעד בכתב את התנאי הלכאורי של אותו חיוב הנטען בכתב התביעה המתוקן, בדבר זכות המגורים, אך היא לא עשתה כן</w:t>
      </w:r>
      <w:r w:rsidR="00E73741" w:rsidRPr="00E73741">
        <w:rPr>
          <w:rFonts w:ascii="David" w:hAnsi="David"/>
          <w:rtl/>
        </w:rPr>
        <w:t xml:space="preserve">. לא זו בלבד שלא בחרה לציין בכל צורה ודרך את אותו חיוב לכאורי, אלא שבשנת 2015 ניגשה למשרדו של עו"ד </w:t>
      </w:r>
      <w:r w:rsidR="00642BE8">
        <w:rPr>
          <w:rFonts w:ascii="David" w:hAnsi="David" w:hint="cs"/>
          <w:rtl/>
        </w:rPr>
        <w:t>א'</w:t>
      </w:r>
      <w:r w:rsidR="00642BE8" w:rsidRPr="00E73741">
        <w:rPr>
          <w:rFonts w:ascii="David" w:hAnsi="David"/>
          <w:rtl/>
        </w:rPr>
        <w:t xml:space="preserve"> </w:t>
      </w:r>
      <w:r w:rsidR="00E73741" w:rsidRPr="00E73741">
        <w:rPr>
          <w:rFonts w:ascii="David" w:hAnsi="David"/>
          <w:rtl/>
        </w:rPr>
        <w:t xml:space="preserve">וחתמה על שטרי המכר ולא ניצלה אתו אותו מפגש לצורך הסדרת אותן מחשבות שלטענתה היו בראשה בזמן אמת. ויודגש, התובעת אינה טוענת לגרסה אחת בדבר זכות מגורים בצד ההענקה, היא העלתה מספר גרסאות, כך בין היתר טענה באחת הגרסאות שסברה שהדירה תירשם גם על שמה, אך אין כל הסבר מצדה של התובעת מדוע למרות אותן מחשבות שלכאורה התרוצצו בראשה, לא בחרה בשום שלב להציף אותן בפני בא כוחה ואשתו שהיו- כך לדבריה- מקורבים אליה מאוד, וכי רעייתו של עו"ד </w:t>
      </w:r>
      <w:r w:rsidR="00642BE8">
        <w:rPr>
          <w:rFonts w:ascii="David" w:hAnsi="David" w:hint="cs"/>
          <w:rtl/>
        </w:rPr>
        <w:t>א'</w:t>
      </w:r>
      <w:r w:rsidR="00642BE8" w:rsidRPr="00E73741">
        <w:rPr>
          <w:rFonts w:ascii="David" w:hAnsi="David"/>
          <w:rtl/>
        </w:rPr>
        <w:t xml:space="preserve"> </w:t>
      </w:r>
      <w:r w:rsidR="00E73741" w:rsidRPr="00E73741">
        <w:rPr>
          <w:rFonts w:ascii="David" w:hAnsi="David"/>
          <w:rtl/>
        </w:rPr>
        <w:t xml:space="preserve">היתה אשת סודה, שכנתה לאורך עשרות שנים ובכל זאת </w:t>
      </w:r>
      <w:r w:rsidR="00E73741" w:rsidRPr="00437F7F">
        <w:rPr>
          <w:rFonts w:ascii="David" w:hAnsi="David"/>
          <w:b/>
          <w:bCs/>
          <w:u w:val="single"/>
          <w:rtl/>
        </w:rPr>
        <w:t xml:space="preserve">לא בא זכרן של אותן מחשבות לכאורה בדבר הסכמים מורכבים, הסכמים בעל פה, הסכמים מכללא בענין סייגים כביכול לאותה מתנה שהעניקה לבתה. </w:t>
      </w:r>
    </w:p>
    <w:p w:rsidR="00E73741" w:rsidRP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למעשה בית המשפט משתכנע והוכח בפניו כי מעולם לא עמד על הפרק להתנות את אותה מתנה בתנאי כלשהו, </w:t>
      </w:r>
      <w:r w:rsidR="00437F7F">
        <w:rPr>
          <w:rFonts w:ascii="David" w:hAnsi="David" w:hint="cs"/>
          <w:rtl/>
        </w:rPr>
        <w:t>הן בשל כך שהמתנה ניתנה על תמורה שכבר התקבלה ו</w:t>
      </w:r>
      <w:r w:rsidRPr="00E73741">
        <w:rPr>
          <w:rFonts w:ascii="David" w:hAnsi="David"/>
          <w:rtl/>
        </w:rPr>
        <w:t>ככל הנראה</w:t>
      </w:r>
      <w:r w:rsidR="00437F7F">
        <w:rPr>
          <w:rFonts w:ascii="David" w:hAnsi="David" w:hint="cs"/>
          <w:rtl/>
        </w:rPr>
        <w:t xml:space="preserve"> גם</w:t>
      </w:r>
      <w:r w:rsidRPr="00E73741">
        <w:rPr>
          <w:rFonts w:ascii="David" w:hAnsi="David"/>
          <w:rtl/>
        </w:rPr>
        <w:t xml:space="preserve"> בשל אותו בטחון גמור שהיה לתובעת בבתה שהיתה לה לאורך עשרות שנים בת טובה שדאגה לכל צרכיה, אשר עבדה בשתי עבודות כדי שתוכל לפרנס את אמה ובנותיה. אותה בת אשר הוויתור המשפחתי שעשתה לאורך שנים הביא בסופו של דבר לסיום נישואיה, והכל על מנת שתוכל להקדיש את גופה ונשמתה לטובת אביה המנוח ואמה. </w:t>
      </w: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השתכנעתי שכלל לא עלה בדעתה של אותה האם, התובעת, הצורך במתן תנאי זה או אחר, שכן בצדק היא סמכה על הנתבעת שתמשיך לאורך כל חייה לדאוג לה כפי שדאגה לה עד למועד המתנה, ושנים לאחר מכן. גם כיום סבורני כי יש ממש בטענת ב"כ הנתבעת כי לא ניתן להבין את השינוי שהתחולל ביחסיהן של הצדדים אלא בדרך אחת ויחידה, והיא שהתובעת היא זו אשר התנהגה בצורה פוגענית כלפי בנותיה של הנתבעת, השפילה, העליבה  ואולי אף גרמה להן לנזקים נפשיים, וכל זאת על רקע הרצון שלה שהנתבעת שוב תעזוב הכל, תפיל את העיפרון ותבוא להיות איתה התובעת- וגם בעניין זה מצאתי לקבל את גרסתה של הנתבעת במלואה ולהעדיפה על פני גרסאותיה של התובעת. </w:t>
      </w:r>
    </w:p>
    <w:p w:rsidR="00437F7F" w:rsidRDefault="00437F7F" w:rsidP="00437F7F">
      <w:pPr>
        <w:pStyle w:val="ad"/>
        <w:spacing w:line="360" w:lineRule="auto"/>
        <w:jc w:val="both"/>
        <w:rPr>
          <w:rFonts w:ascii="David" w:hAnsi="David"/>
        </w:rPr>
      </w:pPr>
    </w:p>
    <w:p w:rsidR="00AB377D" w:rsidRDefault="00AB377D" w:rsidP="00E73741">
      <w:pPr>
        <w:pStyle w:val="ad"/>
        <w:numPr>
          <w:ilvl w:val="0"/>
          <w:numId w:val="8"/>
        </w:numPr>
        <w:spacing w:line="360" w:lineRule="auto"/>
        <w:jc w:val="both"/>
        <w:rPr>
          <w:rFonts w:ascii="David" w:hAnsi="David"/>
          <w:b/>
          <w:bCs/>
          <w:u w:val="single"/>
        </w:rPr>
      </w:pPr>
      <w:r>
        <w:rPr>
          <w:rFonts w:ascii="David" w:hAnsi="David" w:hint="cs"/>
          <w:rtl/>
        </w:rPr>
        <w:t xml:space="preserve">למען הסר ספק יובהר בנקודה זו כי </w:t>
      </w:r>
      <w:r w:rsidRPr="00AB377D">
        <w:rPr>
          <w:rFonts w:ascii="David" w:hAnsi="David" w:hint="cs"/>
          <w:b/>
          <w:bCs/>
          <w:u w:val="single"/>
          <w:rtl/>
        </w:rPr>
        <w:t>אף לו היתה התובעת מצליחה להוכיח כי ההענקה ניתנה, כשתנאי בצידה</w:t>
      </w:r>
      <w:r>
        <w:rPr>
          <w:rFonts w:ascii="David" w:hAnsi="David" w:hint="cs"/>
          <w:rtl/>
        </w:rPr>
        <w:t xml:space="preserve">, הרי שלכל היותר התנאי (שכאמור לא הוכח כתנאי להענקה) היה כי התובעת זכאית להתגורר לכל ימי חייה בחדר בדירה שנרכשת ע"י הבת ואולם היא כלל לא עותרת לקיומו של תנאי לכאורי זה ומשכך לא אדרש אליו. סבורני כי בנקודה זו די בכך שגם הנתבעת עצמה מבהירה כי ככל שהאם חפצה בכך הדרך חזרה למגורים משותפים פתוחים בפני התובעת. כאמור סעד זה כלל לא על הפרק ואני </w:t>
      </w:r>
      <w:r w:rsidRPr="00AB377D">
        <w:rPr>
          <w:rFonts w:ascii="David" w:hAnsi="David" w:hint="cs"/>
          <w:b/>
          <w:bCs/>
          <w:u w:val="single"/>
          <w:rtl/>
        </w:rPr>
        <w:t>מקבלת את טענת ב"כ הנתבעת כי ביהמ"ש לא יפסוק סעד שלא התבקש לפסוק.</w:t>
      </w:r>
    </w:p>
    <w:p w:rsidR="00437F7F" w:rsidRPr="00AB377D" w:rsidRDefault="00437F7F" w:rsidP="00437F7F">
      <w:pPr>
        <w:pStyle w:val="ad"/>
        <w:spacing w:line="360" w:lineRule="auto"/>
        <w:jc w:val="both"/>
        <w:rPr>
          <w:rFonts w:ascii="David" w:hAnsi="David"/>
          <w:b/>
          <w:bCs/>
          <w:u w:val="single"/>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אני מוצאת לקבל את גרסת הנתבעת כי למעשה לא זו בלבד ש</w:t>
      </w:r>
      <w:r w:rsidR="00437F7F">
        <w:rPr>
          <w:rFonts w:ascii="David" w:hAnsi="David" w:hint="cs"/>
          <w:rtl/>
        </w:rPr>
        <w:t xml:space="preserve">במסגרת יחסי הצדדים, </w:t>
      </w:r>
      <w:r w:rsidRPr="00E73741">
        <w:rPr>
          <w:rFonts w:ascii="David" w:hAnsi="David"/>
          <w:rtl/>
        </w:rPr>
        <w:t xml:space="preserve">התובעת לא נדרשה לטפל בנתבעת ובבנותיה, אלא שהיא לא היתה מסוגלת לקבל את הצורך של הנתבעת לצאת לעבודה נוספת על מנת לפרנס את בנותיה, כאשר הופחתו תשלומי המזונות שהתקבלו מבעלה לשעבר של הנתבעת. </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מצאתי לקבל את גרסת הנתבעת שהיתה מהימנה וקוהרנטית כי גם לאחר המשבר בין אמה לבנותיה, המשיכה לנקות את החדר של אמה,  לערוך עבורה קניות, לבשל ולדאוג למרחב מכבד עבור האמא. </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התובעת בהתנהגותה גם בחקירה באולם, שכנעה את בית המשפט כי היא אישה תוקפנית, ניתן היה להתרשם שמזגה הסוער של התובעת הוא שהביא למערכת היחסים העכורה בין הצדדים. לא זו אף זו; לא עלה בידי התובעת להוכיח לבית המשפט כי הנתבעת היא שהביאה במעשים ומחדלים לכך שהתובעת עזבה את בית המגורים, קל וחומר שלא עלה בידיה להוכיח כי הנתבעת דרשה ממנה לעזוב- ההפך הוא הנכון.</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דהיינו: אף אם היה עולה בידי התובעת להוכיח קיומו של תנאי מתלה/מפסיק כטענתה (וכאמור זה כלל אינו המצב בנדוננו והנכון הוא שטענות אלה לא הוכחו ע"י התובעת במאום כמפורט לעיל), אזי מהראיות והחקירות עולה כי תנאי זה כלל לא התקיים, ובפועל התנהגותה של התובעת היא שהביאה למשבר ביחסיי הצדדים ולעזיבתה של התובעת את בית המגורים.</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סבורני כי למעשה התנאי שאותו לכאורה מייחסת התובעת להסכם בעל פה או מכללא בין הצדדים, לא זו בלבד שלא הופר ע"י הנתבעת אלא שלמעשה אין מקום להתייחס אליו, שכן התובעת עצמה מבהירה כי כל מה שמענין אותה הוא להשיג השג כספי גם במחיר זה שהיא תאלץ לעזוב את בית מגוריה ואת מי שטיפלה בה באופן בלעדי לאורך שנים. </w:t>
      </w:r>
    </w:p>
    <w:p w:rsidR="00437F7F" w:rsidRPr="00E73741" w:rsidRDefault="00437F7F" w:rsidP="00437F7F">
      <w:pPr>
        <w:pStyle w:val="ad"/>
        <w:spacing w:line="360" w:lineRule="auto"/>
        <w:jc w:val="both"/>
        <w:rPr>
          <w:rFonts w:ascii="David" w:hAnsi="David"/>
        </w:rPr>
      </w:pPr>
    </w:p>
    <w:p w:rsidR="00E73741" w:rsidRDefault="00E73741" w:rsidP="00437F7F">
      <w:pPr>
        <w:pStyle w:val="ad"/>
        <w:numPr>
          <w:ilvl w:val="0"/>
          <w:numId w:val="8"/>
        </w:numPr>
        <w:spacing w:line="360" w:lineRule="auto"/>
        <w:jc w:val="both"/>
        <w:rPr>
          <w:rFonts w:ascii="David" w:hAnsi="David"/>
        </w:rPr>
      </w:pPr>
      <w:r w:rsidRPr="00E73741">
        <w:rPr>
          <w:rFonts w:ascii="David" w:hAnsi="David"/>
          <w:rtl/>
        </w:rPr>
        <w:t>יוער כי גם לאורך ניהול ההליכים כפי העולה מהפרוטוקולים, היה מי מילדי</w:t>
      </w:r>
      <w:r w:rsidR="00437F7F">
        <w:rPr>
          <w:rFonts w:ascii="David" w:hAnsi="David" w:hint="cs"/>
          <w:rtl/>
        </w:rPr>
        <w:t>ה האחרים של</w:t>
      </w:r>
      <w:r w:rsidRPr="00E73741">
        <w:rPr>
          <w:rFonts w:ascii="David" w:hAnsi="David"/>
          <w:rtl/>
        </w:rPr>
        <w:t xml:space="preserve"> התובעת</w:t>
      </w:r>
      <w:r w:rsidR="00437F7F">
        <w:rPr>
          <w:rFonts w:ascii="David" w:hAnsi="David" w:hint="cs"/>
          <w:rtl/>
        </w:rPr>
        <w:t>,</w:t>
      </w:r>
      <w:r w:rsidRPr="00E73741">
        <w:rPr>
          <w:rFonts w:ascii="David" w:hAnsi="David"/>
          <w:rtl/>
        </w:rPr>
        <w:t xml:space="preserve"> אשר במחדליו טרפד את היכולת של התובעת להסדיר עבור עצמה מקום מגורים ראוי ולמרות ההליכים הקשים והטענות הקשות שטענה התובעת כלפי הנתבעת, לא הוכחש כי הנתבעת חתמה על הסכמה לשאת בתשלום חלקה כבת לצורך הסדרת מגורי הנתבעת.</w:t>
      </w:r>
    </w:p>
    <w:p w:rsidR="00437F7F" w:rsidRPr="00E73741" w:rsidRDefault="00437F7F" w:rsidP="00437F7F">
      <w:pPr>
        <w:pStyle w:val="ad"/>
        <w:spacing w:line="360" w:lineRule="auto"/>
        <w:jc w:val="both"/>
        <w:rPr>
          <w:rFonts w:ascii="David" w:hAnsi="David"/>
        </w:rPr>
      </w:pPr>
    </w:p>
    <w:p w:rsidR="00E73741" w:rsidRDefault="00E73741" w:rsidP="00642BE8">
      <w:pPr>
        <w:pStyle w:val="ad"/>
        <w:numPr>
          <w:ilvl w:val="0"/>
          <w:numId w:val="8"/>
        </w:numPr>
        <w:spacing w:line="360" w:lineRule="auto"/>
        <w:jc w:val="both"/>
        <w:rPr>
          <w:rFonts w:ascii="David" w:hAnsi="David"/>
        </w:rPr>
      </w:pPr>
      <w:r w:rsidRPr="00E73741">
        <w:rPr>
          <w:rFonts w:ascii="David" w:hAnsi="David"/>
          <w:rtl/>
        </w:rPr>
        <w:t xml:space="preserve">לא זו אף זו, הרי שלא רק מחקירת התובעת ניתן ללמוד על משקל מהימנות גרסת הנתבעת,  אלא שגם מחקירת העדה מטעמה, גב' </w:t>
      </w:r>
      <w:r w:rsidR="00642BE8">
        <w:rPr>
          <w:rFonts w:ascii="David" w:hAnsi="David" w:hint="cs"/>
          <w:rtl/>
        </w:rPr>
        <w:t>ע'</w:t>
      </w:r>
      <w:r w:rsidRPr="00E73741">
        <w:rPr>
          <w:rFonts w:ascii="David" w:hAnsi="David"/>
          <w:rtl/>
        </w:rPr>
        <w:t>, כלתה של התובעת,  אשר למעשה אישרה בחקירתה שהמתנה ניתנה בידיעת המשפחה כאשר כולם ערים לנסיבות המשפחתיות ולמסירות האין סופית של הנתבעת כלפי התובעת.</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b/>
          <w:bCs/>
          <w:u w:val="single"/>
        </w:rPr>
      </w:pPr>
      <w:r w:rsidRPr="00E73741">
        <w:rPr>
          <w:rFonts w:ascii="David" w:hAnsi="David"/>
          <w:rtl/>
        </w:rPr>
        <w:t xml:space="preserve">יובהר כי </w:t>
      </w:r>
      <w:r w:rsidRPr="00E73741">
        <w:rPr>
          <w:rFonts w:ascii="David" w:hAnsi="David"/>
          <w:b/>
          <w:bCs/>
          <w:u w:val="single"/>
          <w:rtl/>
        </w:rPr>
        <w:t>אכן מתנה שהושלמה ניתן לשקול לבטלה ככל שמוכח שהיה תנאי גם אם לא צוין בכתב, אלא שבמקרה דנן, לא זו בלבד שהתנאי לא צוין בכתב, אלא שסבורני שגם אם היינו אומרים שמדובר היה בתנאי בעל פה, כאמור דבר שלא היה בו צורך נוכח מסירותה האין סופית של הנתבעת כלפי התובעת, הרי שהתנאי מעולם לא הופר ע"י הנתבעת.</w:t>
      </w:r>
    </w:p>
    <w:p w:rsidR="00437F7F" w:rsidRPr="00E73741" w:rsidRDefault="00437F7F" w:rsidP="00437F7F">
      <w:pPr>
        <w:pStyle w:val="ad"/>
        <w:spacing w:line="360" w:lineRule="auto"/>
        <w:jc w:val="both"/>
        <w:rPr>
          <w:rFonts w:ascii="David" w:hAnsi="David"/>
          <w:b/>
          <w:bCs/>
          <w:u w:val="single"/>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התובעת מבקשת למעשה בפרשנות המשפטית ובקונסטלציות המסורבלות שהיא בונה, ומנסה  להביא לביטול מתנה מתוך חישובים או שיקולים של רישום בעלות שלכאורה נרקחו במוחה של התובעת בעת הענקת המתנה ואולם אין כל זכר לא בראיות בכתב, לא בראיות בעדים לכך שהנושא העסיק בזמן אמת את התובעת או את הנתבעת.</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התובעת למעשה מבקשת היום לעשות שימוש במריבה משפחתית שהיא עצמה יצרה אותה לצורך ביסוס טענה כספית ועל מנת לקבל 71% מזכויות הבעלות בדירה השייכת לנתבעת ורשומה בבעלותה. אם נקבל את טענות כתב התביעה המתוקן, יוזכר וכתב התביעה שאותו אנו מבררים במסגרת פסק דין זה, הרי שמדובר במתנה שניתנה בכפוף לתנאי לכאורי של זכות מגורים, אלא שגם אם היה מתרשם בית המשפט שמדובר בתנאי מכללא או בעל פה שהיה קשור עם עסקת מתנה זו, הרי שלא זו בלבד שהמתנה הושלמה, היא נעלמה מן העולם, שכן הדירה שהוענקה כבר נמכרה, תחתיה נרכש נכס אחר בלא כל מעורבות של התובעת, ובכך למעשה נותקה כל זיקה בין עסקת המתנה במקור ובין הסעד המבוקש והנכון הוא שלתובעת אין כל חלק בדירה שרכשה הנתבעת.</w:t>
      </w:r>
    </w:p>
    <w:p w:rsidR="00437F7F" w:rsidRPr="00437F7F" w:rsidRDefault="00437F7F" w:rsidP="00437F7F">
      <w:pPr>
        <w:pStyle w:val="ad"/>
        <w:rPr>
          <w:rFonts w:ascii="David" w:hAnsi="David"/>
          <w:rtl/>
        </w:rPr>
      </w:pP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יודגש כי בית המשפט דוחה את הטענה שמדובר במתנה שהיה חיוב בצדה והאמור לעיל נכתב למען הזהירות בלבד. התובעת לא הצליחה להוכיח שנקשר במתנה תנאי לעתיד, ההיפך הוא הנכון. הנסיבות העובדתיות שהוכחו, מראות כי המתנה הוענקה לנתבעת על רקע תמורה שהנתבעת נתנה לתובעת בשנים שקדמו לתצהיר המתנה, ולא בגין התחייבות עתידית כלשהי של הנתבעת.</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כאמור לא ניתן להתעלם מהאפשרות שהתובעת הניחה ובצדק כי בתה תמשיך ותטפל בה גם בשנים הבאות, אלא שגם אם היתה מבוססת בתוכה הנחה כזו, היא זו שעשתה מעשים מצדה שאינם מאפשרים את קיומו של התנאי. הנתבעת לאורך שנים ויתרה כמעט על כל משאב אפשרי מצדה, ויתרה על עצמה כאישה, כאדם, כבת זוג, ולאורך כל השנים כך גם לגרסת בני משפחה הנוספים, בכל נקודת זמן העמידה את הוריה בראש סולם העדיפויות, על פני טובתה האישית וטובת המשפחה שהקימה.</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rtl/>
        </w:rPr>
        <w:t xml:space="preserve">בנקודת הזמן שבה התובעת העמידה את הנתבעת בפני בחירה בלתי אפשרית בינה לבין בנותיה, עשתה הנתבעת כל שלעיל ידה כדי לפייס ולנסות להרגיע את המריבות. יצרה הפרדה בתוך הבית פנימה תוך שהיא מטרפדת את היחסים בין בנותיה לאמה, ואולם בשום שלב לא חרגה ממנהגה ולא חדלה לדאוג לאמה ולבטח שלא דרשה ממנה לעזוב את ביתה. גם במועד הגשת כתב התביעה המקורי וגם במועד כתב התביעה המתוקן, המשיכה התובעת והתגוררה בדירה ברח' </w:t>
      </w:r>
      <w:r w:rsidR="00642BE8">
        <w:rPr>
          <w:rFonts w:ascii="David" w:hAnsi="David"/>
        </w:rPr>
        <w:t>X</w:t>
      </w:r>
      <w:r w:rsidRPr="00E73741">
        <w:rPr>
          <w:rFonts w:ascii="David" w:hAnsi="David"/>
          <w:rtl/>
        </w:rPr>
        <w:t xml:space="preserve"> </w:t>
      </w:r>
      <w:r w:rsidR="00642BE8">
        <w:rPr>
          <w:rFonts w:ascii="David" w:hAnsi="David"/>
          <w:rtl/>
        </w:rPr>
        <w:t>ב*********</w:t>
      </w:r>
      <w:r w:rsidRPr="00E73741">
        <w:rPr>
          <w:rFonts w:ascii="David" w:hAnsi="David"/>
          <w:rtl/>
        </w:rPr>
        <w:t>, היא דירת הנתבעת.</w:t>
      </w:r>
    </w:p>
    <w:p w:rsidR="00437F7F" w:rsidRPr="00E73741" w:rsidRDefault="00437F7F" w:rsidP="00437F7F">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b/>
          <w:bCs/>
          <w:rtl/>
        </w:rPr>
        <w:t>לא הוצג בפני בית המשפט כל בדל ראיה לדרישה של הנתבעת כי התובעת תעזוב את הבית ו/או בדל ראיה לכך שהנתבעת בהתנהגותה גרמה לתובעת לעזוב את הבית</w:t>
      </w:r>
      <w:r w:rsidRPr="00E73741">
        <w:rPr>
          <w:rFonts w:ascii="David" w:hAnsi="David"/>
          <w:rtl/>
        </w:rPr>
        <w:t>. כאמור התובעת היא שגרמה בהתנהגותה התוקפנית למערכת יחסים עכורה ובחרה על דעת עצמה לעזוב את בית הנתבעת תוך שהיא דוחה כל ניסיון, הן של הנתבעת והן של בית  המשפט למצוא חלופות ולו מטעמים ערכיים ללא כל צידוק משפטי, להסדרת מגוריה. התובעת כאמור דחתה את כל הניסיונות הללו ובכך רק חיזקה את ההתרשמות של בית המשפט כי למעשה לנגד עיניה אך ורק האפשרות להשיג הישג כספי, תוך ניסיון להישען על מתנה שהושלמה אשר ניתנה על ידה לפני למעלה מ-10 שנים לבתה - משפטית ללא תמורה ומעשית בתמורה לתמורה שניתנה שנים קודם לכן.</w:t>
      </w:r>
    </w:p>
    <w:p w:rsidR="00437F7F" w:rsidRPr="00E73741" w:rsidRDefault="00437F7F" w:rsidP="00437F7F">
      <w:pPr>
        <w:pStyle w:val="ad"/>
        <w:spacing w:line="360" w:lineRule="auto"/>
        <w:jc w:val="both"/>
        <w:rPr>
          <w:rFonts w:ascii="David" w:hAnsi="David"/>
        </w:rPr>
      </w:pPr>
    </w:p>
    <w:p w:rsidR="00E73741" w:rsidRPr="00BE5710" w:rsidRDefault="00E73741" w:rsidP="00E73741">
      <w:pPr>
        <w:pStyle w:val="ad"/>
        <w:numPr>
          <w:ilvl w:val="0"/>
          <w:numId w:val="8"/>
        </w:numPr>
        <w:spacing w:line="360" w:lineRule="auto"/>
        <w:jc w:val="both"/>
        <w:rPr>
          <w:rFonts w:ascii="David" w:hAnsi="David"/>
          <w:b/>
          <w:bCs/>
        </w:rPr>
      </w:pPr>
      <w:r w:rsidRPr="00BE5710">
        <w:rPr>
          <w:rFonts w:ascii="David" w:hAnsi="David"/>
          <w:b/>
          <w:bCs/>
          <w:rtl/>
        </w:rPr>
        <w:t xml:space="preserve">סבורני כי כל האמור לעיל מביא את בית המשפט למסקנה מתחייבת אחת והיא כי טענות כתב התביעה המתוקן לא הוכחו, אפילו לא בצורה חלקית. </w:t>
      </w:r>
    </w:p>
    <w:p w:rsidR="00437F7F" w:rsidRPr="00437F7F" w:rsidRDefault="00437F7F" w:rsidP="00437F7F">
      <w:pPr>
        <w:pStyle w:val="ad"/>
        <w:rPr>
          <w:rFonts w:ascii="David" w:hAnsi="David"/>
          <w:rtl/>
        </w:rPr>
      </w:pPr>
    </w:p>
    <w:p w:rsidR="00437F7F" w:rsidRPr="00E73741" w:rsidRDefault="00437F7F" w:rsidP="00437F7F">
      <w:pPr>
        <w:pStyle w:val="ad"/>
        <w:spacing w:line="360" w:lineRule="auto"/>
        <w:jc w:val="both"/>
        <w:rPr>
          <w:rFonts w:ascii="David" w:hAnsi="David"/>
        </w:rPr>
      </w:pPr>
    </w:p>
    <w:p w:rsidR="00E73741" w:rsidRDefault="00E73741" w:rsidP="00642BE8">
      <w:pPr>
        <w:pStyle w:val="ad"/>
        <w:numPr>
          <w:ilvl w:val="0"/>
          <w:numId w:val="8"/>
        </w:numPr>
        <w:spacing w:line="360" w:lineRule="auto"/>
        <w:jc w:val="both"/>
        <w:rPr>
          <w:rFonts w:ascii="David" w:hAnsi="David"/>
        </w:rPr>
      </w:pPr>
      <w:r w:rsidRPr="00E73741">
        <w:rPr>
          <w:rFonts w:ascii="David" w:hAnsi="David"/>
          <w:rtl/>
        </w:rPr>
        <w:t xml:space="preserve">בית המשפט התרשם כי אכן בשנת 2012 נחתמו תצהירי מתנה ללא תמורה בין התובעת לנתבעת, המתנה הושלמה ונרשמה שנים לאחר חתימת הסכם המתנה, תוך מעורבות של עורך הדין </w:t>
      </w:r>
      <w:r w:rsidR="00642BE8">
        <w:rPr>
          <w:rFonts w:ascii="David" w:hAnsi="David" w:hint="cs"/>
          <w:rtl/>
        </w:rPr>
        <w:t>א'</w:t>
      </w:r>
      <w:r w:rsidR="00642BE8" w:rsidRPr="00E73741">
        <w:rPr>
          <w:rFonts w:ascii="David" w:hAnsi="David"/>
          <w:rtl/>
        </w:rPr>
        <w:t xml:space="preserve"> </w:t>
      </w:r>
      <w:r w:rsidRPr="00E73741">
        <w:rPr>
          <w:rFonts w:ascii="David" w:hAnsi="David"/>
          <w:rtl/>
        </w:rPr>
        <w:t xml:space="preserve">בשנת 2015 כאשר בעת חתימת שטרי המכר לא הוסף דבר וחצי דבר לתצהירי המתנה. גם בעובדה שלא נרשמה הערת אזהרה לטובת התובעת על זכויות הנתבעת בבית המגורים ברח' </w:t>
      </w:r>
      <w:r w:rsidR="00642BE8">
        <w:rPr>
          <w:rFonts w:ascii="David" w:hAnsi="David"/>
        </w:rPr>
        <w:t>X</w:t>
      </w:r>
      <w:r w:rsidRPr="00E73741">
        <w:rPr>
          <w:rFonts w:ascii="David" w:hAnsi="David"/>
          <w:rtl/>
        </w:rPr>
        <w:t xml:space="preserve"> ועניין זה כלל לא עמד על הפרק יש כדי לחזק מסקנות אלה.</w:t>
      </w:r>
    </w:p>
    <w:p w:rsidR="00BE5710" w:rsidRPr="00E73741" w:rsidRDefault="00BE5710" w:rsidP="00BE5710">
      <w:pPr>
        <w:pStyle w:val="ad"/>
        <w:spacing w:line="360" w:lineRule="auto"/>
        <w:jc w:val="both"/>
        <w:rPr>
          <w:rFonts w:ascii="David" w:hAnsi="David"/>
        </w:rPr>
      </w:pPr>
    </w:p>
    <w:p w:rsidR="00E73741" w:rsidRDefault="00E73741" w:rsidP="00E73741">
      <w:pPr>
        <w:pStyle w:val="ad"/>
        <w:numPr>
          <w:ilvl w:val="0"/>
          <w:numId w:val="8"/>
        </w:numPr>
        <w:spacing w:line="360" w:lineRule="auto"/>
        <w:jc w:val="both"/>
        <w:rPr>
          <w:rFonts w:ascii="David" w:hAnsi="David"/>
        </w:rPr>
      </w:pPr>
      <w:r w:rsidRPr="00E73741">
        <w:rPr>
          <w:rFonts w:ascii="David" w:hAnsi="David"/>
          <w:b/>
          <w:bCs/>
          <w:rtl/>
        </w:rPr>
        <w:t>בית המשפט דוחה את הטענה בדבר תנאי או חיוב בצד ההענקה</w:t>
      </w:r>
      <w:r w:rsidRPr="00E73741">
        <w:rPr>
          <w:rFonts w:ascii="David" w:hAnsi="David"/>
          <w:rtl/>
        </w:rPr>
        <w:t>. סבורני כי טענות הנתבעת בכתב ההגנה ובסיכומים היו נרחבות והתייחסו מפאת הזהירות לכל סוגי הטענות שטענה התובעת, אך למעשה מדובר בתובעת שהכבידה על ניהול ההליך, תוך פיזור שלל טענות מכל הבא ליד לכל הכיוונים, כמו ריצת אמוק ותוך בזבוז משאבים שיפוטיים ניכרים ויקרים ותוך גרירת הנתבעת להליכים ארוכים ומסורבלים.</w:t>
      </w:r>
    </w:p>
    <w:p w:rsidR="00BE5710" w:rsidRPr="00E73741" w:rsidRDefault="00BE5710" w:rsidP="00BE5710">
      <w:pPr>
        <w:pStyle w:val="ad"/>
        <w:spacing w:line="360" w:lineRule="auto"/>
        <w:jc w:val="both"/>
        <w:rPr>
          <w:rFonts w:ascii="David" w:hAnsi="David"/>
        </w:rPr>
      </w:pPr>
    </w:p>
    <w:p w:rsidR="00BE5710" w:rsidRPr="00BE5710" w:rsidRDefault="00E73741" w:rsidP="00E73741">
      <w:pPr>
        <w:pStyle w:val="ad"/>
        <w:numPr>
          <w:ilvl w:val="0"/>
          <w:numId w:val="8"/>
        </w:numPr>
        <w:spacing w:line="360" w:lineRule="auto"/>
        <w:jc w:val="both"/>
        <w:rPr>
          <w:rFonts w:ascii="David" w:hAnsi="David"/>
        </w:rPr>
      </w:pPr>
      <w:r w:rsidRPr="00E73741">
        <w:rPr>
          <w:rFonts w:ascii="David" w:hAnsi="David"/>
          <w:rtl/>
        </w:rPr>
        <w:t xml:space="preserve">אכן יש ממש בטענה כי לאחר שתוקן כתב התביעה, ראוי היה להתרכז אך ורק בטענות שנוגעות לביטול המתנה, ובכל זאת גם בטיעוניה בכתב התביעה המתוקן וגם בסיכומיה המשיכה התובעת וחרגה מהמסגרת המשפטית שהוגדרה על ידה וע"י בית המשפט. </w:t>
      </w:r>
    </w:p>
    <w:p w:rsidR="00BE5710" w:rsidRPr="00BE5710" w:rsidRDefault="00BE5710" w:rsidP="00BE5710">
      <w:pPr>
        <w:pStyle w:val="ad"/>
        <w:rPr>
          <w:rFonts w:ascii="David" w:hAnsi="David"/>
          <w:b/>
          <w:bCs/>
          <w:u w:val="single"/>
          <w:rtl/>
        </w:rPr>
      </w:pPr>
    </w:p>
    <w:p w:rsidR="00BE5710" w:rsidRDefault="00BE5710" w:rsidP="00BE5710">
      <w:pPr>
        <w:pStyle w:val="ad"/>
        <w:spacing w:line="360" w:lineRule="auto"/>
        <w:jc w:val="both"/>
        <w:rPr>
          <w:rFonts w:ascii="David" w:hAnsi="David"/>
          <w:rtl/>
        </w:rPr>
      </w:pPr>
      <w:r>
        <w:rPr>
          <w:rFonts w:ascii="David" w:hAnsi="David" w:hint="cs"/>
          <w:b/>
          <w:bCs/>
          <w:u w:val="single"/>
          <w:rtl/>
        </w:rPr>
        <w:t>כ</w:t>
      </w:r>
      <w:r w:rsidR="00E73741" w:rsidRPr="00E73741">
        <w:rPr>
          <w:rFonts w:ascii="David" w:hAnsi="David"/>
          <w:b/>
          <w:bCs/>
          <w:u w:val="single"/>
          <w:rtl/>
        </w:rPr>
        <w:t>אמור, מצאתי לדחות את התביעה</w:t>
      </w:r>
      <w:r>
        <w:rPr>
          <w:rFonts w:ascii="David" w:hAnsi="David" w:hint="cs"/>
          <w:b/>
          <w:bCs/>
          <w:u w:val="single"/>
          <w:rtl/>
        </w:rPr>
        <w:t xml:space="preserve"> על כל חלקיה</w:t>
      </w:r>
      <w:r w:rsidR="00E73741" w:rsidRPr="00E73741">
        <w:rPr>
          <w:rFonts w:ascii="David" w:hAnsi="David"/>
          <w:b/>
          <w:bCs/>
          <w:u w:val="single"/>
          <w:rtl/>
        </w:rPr>
        <w:t xml:space="preserve"> ולחייב את ה</w:t>
      </w:r>
      <w:r>
        <w:rPr>
          <w:rFonts w:ascii="David" w:hAnsi="David"/>
          <w:b/>
          <w:bCs/>
          <w:u w:val="single"/>
          <w:rtl/>
        </w:rPr>
        <w:t>תובעת בהוצאות הנתבעת בסך 25,000</w:t>
      </w:r>
      <w:r>
        <w:rPr>
          <w:rFonts w:ascii="David" w:hAnsi="David" w:hint="cs"/>
          <w:b/>
          <w:bCs/>
          <w:u w:val="single"/>
          <w:rtl/>
        </w:rPr>
        <w:t xml:space="preserve"> </w:t>
      </w:r>
      <w:r w:rsidR="00E73741" w:rsidRPr="00E73741">
        <w:rPr>
          <w:rFonts w:ascii="David" w:hAnsi="David"/>
          <w:b/>
          <w:bCs/>
          <w:u w:val="single"/>
          <w:rtl/>
        </w:rPr>
        <w:t xml:space="preserve">₪ . </w:t>
      </w:r>
      <w:r w:rsidR="00E73741" w:rsidRPr="00BE5710">
        <w:rPr>
          <w:rFonts w:ascii="David" w:hAnsi="David"/>
          <w:rtl/>
        </w:rPr>
        <w:t xml:space="preserve">ההוצאות תשולמנה בתום 30 ימים כשהסכום נושא הפרשי הצמדה וריבית עד מועד התשלום בפועל. </w:t>
      </w:r>
    </w:p>
    <w:p w:rsidR="00E73741" w:rsidRDefault="00E73741" w:rsidP="00BE5710">
      <w:pPr>
        <w:pStyle w:val="ad"/>
        <w:spacing w:line="360" w:lineRule="auto"/>
        <w:jc w:val="both"/>
        <w:rPr>
          <w:rFonts w:ascii="David" w:hAnsi="David"/>
          <w:rtl/>
        </w:rPr>
      </w:pPr>
      <w:r w:rsidRPr="00BE5710">
        <w:rPr>
          <w:rFonts w:ascii="David" w:hAnsi="David"/>
          <w:rtl/>
        </w:rPr>
        <w:t>ערה</w:t>
      </w:r>
      <w:r w:rsidRPr="00E73741">
        <w:rPr>
          <w:rFonts w:ascii="David" w:hAnsi="David"/>
          <w:rtl/>
        </w:rPr>
        <w:t xml:space="preserve"> אני לכך שאין מדובר בהוצאותיה הריאליות של הנתבעת אשר נדרשה למעלה מ-3 שנים לניהול הליך שנוהל בצורה מסורבלת ומכבידה ע"י התובעת ואולם יחד עם זאת, מצאתי להתחשב באפשרות שהנתבעת עצמה כפי שהפגינה סבלנות ומסירות כלפי אמה גם במסגרת ניהול ההליך תוכל להבין שיקול זאת גם במסגרת פסיקת ההוצאות וקביעת היקפן.</w:t>
      </w:r>
    </w:p>
    <w:p w:rsidR="00BE5710" w:rsidRDefault="00BE5710" w:rsidP="00BE5710">
      <w:pPr>
        <w:pStyle w:val="ad"/>
        <w:spacing w:line="360" w:lineRule="auto"/>
        <w:jc w:val="both"/>
        <w:rPr>
          <w:rFonts w:ascii="David" w:hAnsi="David"/>
          <w:rtl/>
        </w:rPr>
      </w:pPr>
    </w:p>
    <w:p w:rsidR="00E73741" w:rsidRPr="00E73741" w:rsidRDefault="00E73741" w:rsidP="00E73741">
      <w:pPr>
        <w:pStyle w:val="ad"/>
        <w:numPr>
          <w:ilvl w:val="0"/>
          <w:numId w:val="8"/>
        </w:numPr>
        <w:spacing w:line="360" w:lineRule="auto"/>
        <w:jc w:val="both"/>
        <w:rPr>
          <w:rFonts w:ascii="David" w:hAnsi="David"/>
          <w:rtl/>
        </w:rPr>
      </w:pPr>
      <w:r w:rsidRPr="00E73741">
        <w:rPr>
          <w:rFonts w:ascii="David" w:hAnsi="David"/>
          <w:rtl/>
        </w:rPr>
        <w:t>בכך מסתיים בירור התובענה, המזכירות תשלח פסק הדין לצדדים ותסגור את התיק.</w:t>
      </w:r>
    </w:p>
    <w:p w:rsidR="00694556" w:rsidRPr="00E73741" w:rsidRDefault="00694556">
      <w:pPr>
        <w:spacing w:line="360" w:lineRule="auto"/>
        <w:jc w:val="both"/>
        <w:rPr>
          <w:rFonts w:ascii="David" w:hAnsi="David"/>
          <w:noProof w:val="0"/>
          <w:rtl/>
        </w:rPr>
      </w:pPr>
    </w:p>
    <w:p w:rsidR="00694556" w:rsidRPr="00E73741" w:rsidRDefault="00005C8B">
      <w:pPr>
        <w:spacing w:line="360" w:lineRule="auto"/>
        <w:jc w:val="both"/>
        <w:rPr>
          <w:rFonts w:ascii="David" w:hAnsi="David"/>
          <w:noProof w:val="0"/>
          <w:rtl/>
        </w:rPr>
      </w:pPr>
      <w:r w:rsidRPr="00E73741">
        <w:rPr>
          <w:rFonts w:ascii="David" w:hAnsi="David"/>
          <w:noProof w:val="0"/>
          <w:rtl/>
        </w:rPr>
        <w:t>ניתן היום,  י' חשוון תשפ"ד, 25 אוקטובר 2023, בהעדר הצדדים.</w:t>
      </w:r>
    </w:p>
    <w:p w:rsidR="005B0F49" w:rsidRPr="00E73741" w:rsidRDefault="005B0F49" w:rsidP="00E51BCF">
      <w:pPr>
        <w:spacing w:line="360" w:lineRule="auto"/>
        <w:jc w:val="both"/>
        <w:rPr>
          <w:rFonts w:ascii="David" w:hAnsi="David"/>
          <w:noProof w:val="0"/>
          <w:rtl/>
        </w:rPr>
      </w:pPr>
      <w:r w:rsidRPr="00E73741">
        <w:rPr>
          <w:rFonts w:ascii="David" w:hAnsi="David"/>
          <w:noProof w:val="0"/>
          <w:rtl/>
        </w:rPr>
        <w:tab/>
      </w:r>
      <w:r w:rsidRPr="00E73741">
        <w:rPr>
          <w:rFonts w:ascii="David" w:hAnsi="David"/>
          <w:noProof w:val="0"/>
          <w:rtl/>
        </w:rPr>
        <w:tab/>
      </w:r>
      <w:r w:rsidRPr="00E73741">
        <w:rPr>
          <w:rFonts w:ascii="David" w:hAnsi="David"/>
          <w:noProof w:val="0"/>
          <w:rtl/>
        </w:rPr>
        <w:tab/>
      </w:r>
      <w:r w:rsidRPr="00E73741">
        <w:rPr>
          <w:rFonts w:ascii="David" w:hAnsi="David"/>
          <w:noProof w:val="0"/>
          <w:rtl/>
        </w:rPr>
        <w:tab/>
      </w:r>
      <w:r w:rsidRPr="00E73741">
        <w:rPr>
          <w:rFonts w:ascii="David" w:hAnsi="David"/>
          <w:noProof w:val="0"/>
          <w:rtl/>
        </w:rPr>
        <w:tab/>
      </w:r>
      <w:r w:rsidR="00633C4F" w:rsidRPr="00E73741">
        <w:rPr>
          <w:rFonts w:ascii="David" w:hAnsi="David"/>
          <w:noProof w:val="0"/>
          <w:rtl/>
        </w:rPr>
        <w:tab/>
        <w:t xml:space="preserve"> </w:t>
      </w:r>
    </w:p>
    <w:p w:rsidR="00694556" w:rsidRPr="00E73741" w:rsidRDefault="00005C8B" w:rsidP="00633C4F">
      <w:pPr>
        <w:spacing w:line="360" w:lineRule="auto"/>
        <w:ind w:left="3600" w:firstLine="720"/>
        <w:rPr>
          <w:rFonts w:ascii="David" w:hAnsi="David"/>
          <w:noProof w:val="0"/>
          <w:rtl/>
        </w:rPr>
      </w:pPr>
      <w:r w:rsidRPr="00E73741">
        <w:rPr>
          <w:rFonts w:ascii="David" w:hAnsi="David"/>
          <w:noProof w:val="0"/>
          <w:rtl/>
        </w:rPr>
        <w:t>חתימה</w:t>
      </w:r>
    </w:p>
    <w:sectPr w:rsidR="00694556" w:rsidRPr="00E73741"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122" w:rsidRDefault="00256122">
      <w:r>
        <w:separator/>
      </w:r>
    </w:p>
  </w:endnote>
  <w:endnote w:type="continuationSeparator" w:id="0">
    <w:p w:rsidR="00256122" w:rsidRDefault="0025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4E" w:rsidRDefault="004004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044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044E">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4E" w:rsidRDefault="0040044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122" w:rsidRDefault="00256122">
      <w:r>
        <w:separator/>
      </w:r>
    </w:p>
  </w:footnote>
  <w:footnote w:type="continuationSeparator" w:id="0">
    <w:p w:rsidR="00256122" w:rsidRDefault="0025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4E" w:rsidRDefault="004004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rsidP="00642BE8">
              <w:pPr>
                <w:pStyle w:val="a3"/>
                <w:jc w:val="center"/>
                <w:rPr>
                  <w:rFonts w:ascii="Tahoma" w:hAnsi="Tahoma" w:cs="Tahoma"/>
                  <w:noProof w:val="0"/>
                  <w:color w:val="000080"/>
                  <w:rtl/>
                </w:rPr>
              </w:pPr>
              <w:r w:rsidRPr="00642BE8">
                <w:rPr>
                  <w:rtl/>
                </w:rPr>
                <w:t xml:space="preserve">בית משפט לענייני משפחה </w:t>
              </w:r>
              <w:r w:rsidR="00642BE8" w:rsidRPr="00642BE8">
                <w:rPr>
                  <w:rtl/>
                </w:rPr>
                <w:t>ב</w:t>
              </w:r>
              <w:r w:rsidR="00642BE8">
                <w:rPr>
                  <w:rFonts w:hint="cs"/>
                  <w:rtl/>
                </w:rPr>
                <w:t>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0044E" w:rsidP="005446F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41470-10-20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446FA">
                <w:rPr>
                  <w:rFonts w:hint="cs"/>
                  <w:b/>
                  <w:bCs/>
                  <w:noProof w:val="0"/>
                  <w:sz w:val="26"/>
                  <w:szCs w:val="26"/>
                  <w:rtl/>
                </w:rPr>
                <w:t>פלונית</w:t>
              </w:r>
              <w:r w:rsidR="00FB3C14">
                <w:rPr>
                  <w:b/>
                  <w:bCs/>
                  <w:noProof w:val="0"/>
                  <w:sz w:val="26"/>
                  <w:szCs w:val="26"/>
                  <w:rtl/>
                </w:rPr>
                <w:t xml:space="preserve"> נ' </w:t>
              </w:r>
              <w:r w:rsidR="005446FA">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rFonts w:hint="cs"/>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4E" w:rsidRDefault="004004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1BD"/>
    <w:multiLevelType w:val="hybridMultilevel"/>
    <w:tmpl w:val="D8921108"/>
    <w:lvl w:ilvl="0" w:tplc="7C32EEE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F56797"/>
    <w:multiLevelType w:val="hybridMultilevel"/>
    <w:tmpl w:val="839C65B0"/>
    <w:lvl w:ilvl="0" w:tplc="8B861FF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2D64"/>
    <w:multiLevelType w:val="hybridMultilevel"/>
    <w:tmpl w:val="0270E596"/>
    <w:lvl w:ilvl="0" w:tplc="05DC390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F04810"/>
    <w:multiLevelType w:val="hybridMultilevel"/>
    <w:tmpl w:val="816EC33A"/>
    <w:lvl w:ilvl="0" w:tplc="1E60B6D2">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EE353D3"/>
    <w:multiLevelType w:val="hybridMultilevel"/>
    <w:tmpl w:val="7A3A9EAC"/>
    <w:lvl w:ilvl="0" w:tplc="43A46E1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1C547A"/>
    <w:multiLevelType w:val="hybridMultilevel"/>
    <w:tmpl w:val="4B1E3A22"/>
    <w:lvl w:ilvl="0" w:tplc="2BCE04F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49253F"/>
    <w:multiLevelType w:val="hybridMultilevel"/>
    <w:tmpl w:val="A06A6B16"/>
    <w:lvl w:ilvl="0" w:tplc="B3C286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127E46"/>
    <w:multiLevelType w:val="hybridMultilevel"/>
    <w:tmpl w:val="5E4E5E10"/>
    <w:lvl w:ilvl="0" w:tplc="AA26F10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num>
  <w:num w:numId="3">
    <w:abstractNumId w:val="7"/>
  </w:num>
  <w:num w:numId="4">
    <w:abstractNumId w:val="2"/>
  </w:num>
  <w:num w:numId="5">
    <w:abstractNumId w:val="0"/>
  </w:num>
  <w:num w:numId="6">
    <w:abstractNumId w:val="5"/>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001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00129&amp;lt;/CaseID&amp;gt;_x000d__x000a_        &amp;lt;CaseMonth&amp;gt;10&amp;lt;/CaseMonth&amp;gt;_x000d__x000a_        &amp;lt;CaseYear&amp;gt;2020&amp;lt;/CaseYear&amp;gt;_x000d__x000a_        &amp;lt;CaseNumber&amp;gt;41470&amp;lt;/CaseNumber&amp;gt;_x000d__x000a_        &amp;lt;NumeratorGroupID&amp;gt;1&amp;lt;/NumeratorGroupID&amp;gt;_x000d__x000a_        &amp;lt;CaseName&amp;gt;עמוס נ&amp;#39; עמוס&amp;lt;/CaseName&amp;gt;_x000d__x000a_        &amp;lt;CourtID&amp;gt;41&amp;lt;/CourtID&amp;gt;_x000d__x000a_        &amp;lt;CaseTypeID&amp;gt;15&amp;lt;/CaseTypeID&amp;gt;_x000d__x000a_        &amp;lt;CaseInterestID&amp;gt;158&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470-10-20&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0-21T11:1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הזמנה לעד נמסרה לאיריס ממשרד עו&amp;quot;ד אליג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00129&amp;lt;/CaseID&amp;gt;_x000d__x000a_        &amp;lt;CaseMonth&amp;gt;10&amp;lt;/CaseMonth&amp;gt;_x000d__x000a_        &amp;lt;CaseYear&amp;gt;2020&amp;lt;/CaseYear&amp;gt;_x000d__x000a_        &amp;lt;CaseNumber&amp;gt;41470&amp;lt;/CaseNumber&amp;gt;_x000d__x000a_        &amp;lt;NumeratorGroupID&amp;gt;1&amp;lt;/NumeratorGroupID&amp;gt;_x000d__x000a_        &amp;lt;CaseName&amp;gt;עמוס נ&amp;#39; עמוס&amp;lt;/CaseName&amp;gt;_x000d__x000a_        &amp;lt;CourtID&amp;gt;41&amp;lt;/CourtID&amp;gt;_x000d__x000a_        &amp;lt;CaseTypeID&amp;gt;15&amp;lt;/CaseTypeID&amp;gt;_x000d__x000a_        &amp;lt;CaseInterestID&amp;gt;158&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470-10-20&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0-10-21T11:1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הזמנה לעד נמסרה לאיריס ממשרד עו&amp;quot;ד אליג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705387&amp;lt;/DecisionID&amp;gt;_x000d__x000a_        &amp;lt;DecisionName&amp;gt;פסק דין  שניתנה ע&amp;quot;י  רותם קודלר עיאש&amp;lt;/DecisionName&amp;gt;_x000d__x000a_        &amp;lt;DecisionStatusID&amp;gt;1&amp;lt;/DecisionStatusID&amp;gt;_x000d__x000a_        &amp;lt;DecisionStatusChangeDate&amp;gt;2023-10-25T14:18:19.253+03:00&amp;lt;/DecisionStatusChangeDate&amp;gt;_x000d__x000a_        &amp;lt;DecisionSignatureDate&amp;gt;2023-10-25T08:41:01.077+03:00&amp;lt;/DecisionSignatureDate&amp;gt;_x000d__x000a_        &amp;lt;DecisionSignatureUserID&amp;gt;025596065@GOV.IL&amp;lt;/DecisionSignatureUserID&amp;gt;_x000d__x000a_        &amp;lt;DecisionCreateDate&amp;gt;2023-10-25T08:45:11.853+03:00&amp;lt;/DecisionCreateDate&amp;gt;_x000d__x000a_        &amp;lt;DecisionChangeDate&amp;gt;2023-10-25T14:18:19.4+03:00&amp;lt;/DecisionChangeDate&amp;gt;_x000d__x000a_        &amp;lt;DecisionChangeUserID&amp;gt;2088565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3298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87676@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705387&amp;lt;/DecisionID&amp;gt;_x000d__x000a_        &amp;lt;CaseID&amp;gt;77800129&amp;lt;/CaseID&amp;gt;_x000d__x000a_        &amp;lt;IsOriginal&amp;gt;true&amp;lt;/IsOriginal&amp;gt;_x000d__x000a_        &amp;lt;IsDeleted&amp;gt;false&amp;lt;/IsDeleted&amp;gt;_x000d__x000a_        &amp;lt;CaseName&amp;gt;עמוס נ&amp;#39; עמוס&amp;lt;/CaseName&amp;gt;_x000d__x000a_        &amp;lt;CaseDisplayIdentifier&amp;gt;41470-10-20 תמ&amp;quot;ש&amp;lt;/CaseDisplayIdentifier&amp;gt;_x000d__x000a_      &amp;lt;/dt_DecisionCase&amp;gt;_x000d__x000a_    &amp;lt;/DecisionDS&amp;gt;_x000d__x000a_  &amp;lt;/diffgr:diffgram&amp;gt;_x000d__x000a_&amp;lt;/DecisionDS&amp;gt;"/>
    <w:docVar w:name="DecisionID" w:val="147705387"/>
    <w:docVar w:name="WordClientAssemblyName" w:val="NGCS.Decision.ClientWordBL"/>
    <w:docVar w:name="WordClientClassName" w:val="NGCS.Decision.ClientWordBL.DecisionClient"/>
  </w:docVars>
  <w:rsids>
    <w:rsidRoot w:val="00694556"/>
    <w:rsid w:val="00005C8B"/>
    <w:rsid w:val="00006852"/>
    <w:rsid w:val="000132D7"/>
    <w:rsid w:val="000146C2"/>
    <w:rsid w:val="00016C35"/>
    <w:rsid w:val="00021BA2"/>
    <w:rsid w:val="00022B18"/>
    <w:rsid w:val="000258FD"/>
    <w:rsid w:val="00036304"/>
    <w:rsid w:val="00055268"/>
    <w:rsid w:val="000564AB"/>
    <w:rsid w:val="00083410"/>
    <w:rsid w:val="000A0D1D"/>
    <w:rsid w:val="000C01F6"/>
    <w:rsid w:val="000D4A02"/>
    <w:rsid w:val="000E1EC7"/>
    <w:rsid w:val="000F53ED"/>
    <w:rsid w:val="001072A9"/>
    <w:rsid w:val="00112CAC"/>
    <w:rsid w:val="00121F97"/>
    <w:rsid w:val="00122DF7"/>
    <w:rsid w:val="001277D7"/>
    <w:rsid w:val="00127FE8"/>
    <w:rsid w:val="00132017"/>
    <w:rsid w:val="0014234E"/>
    <w:rsid w:val="00145A87"/>
    <w:rsid w:val="00151543"/>
    <w:rsid w:val="0018351F"/>
    <w:rsid w:val="00190526"/>
    <w:rsid w:val="001A1841"/>
    <w:rsid w:val="001B0E5C"/>
    <w:rsid w:val="001B703D"/>
    <w:rsid w:val="001C4003"/>
    <w:rsid w:val="001F5474"/>
    <w:rsid w:val="001F6BBA"/>
    <w:rsid w:val="00224BD6"/>
    <w:rsid w:val="002352F7"/>
    <w:rsid w:val="002513F0"/>
    <w:rsid w:val="00256122"/>
    <w:rsid w:val="00261684"/>
    <w:rsid w:val="0027277D"/>
    <w:rsid w:val="002A1817"/>
    <w:rsid w:val="002C08F2"/>
    <w:rsid w:val="002F7D11"/>
    <w:rsid w:val="00311CBE"/>
    <w:rsid w:val="00321794"/>
    <w:rsid w:val="00334994"/>
    <w:rsid w:val="00345D08"/>
    <w:rsid w:val="00352C32"/>
    <w:rsid w:val="00363113"/>
    <w:rsid w:val="00363D39"/>
    <w:rsid w:val="00367DDE"/>
    <w:rsid w:val="00372481"/>
    <w:rsid w:val="00381D3A"/>
    <w:rsid w:val="003823DA"/>
    <w:rsid w:val="003A37DF"/>
    <w:rsid w:val="003A7913"/>
    <w:rsid w:val="003C1FAB"/>
    <w:rsid w:val="003C4B4A"/>
    <w:rsid w:val="003D7F72"/>
    <w:rsid w:val="003F6ABA"/>
    <w:rsid w:val="003F7651"/>
    <w:rsid w:val="0040044E"/>
    <w:rsid w:val="0042550C"/>
    <w:rsid w:val="0043595F"/>
    <w:rsid w:val="00437F7F"/>
    <w:rsid w:val="00466E4D"/>
    <w:rsid w:val="0047645A"/>
    <w:rsid w:val="0048534D"/>
    <w:rsid w:val="004B0E56"/>
    <w:rsid w:val="004D49A3"/>
    <w:rsid w:val="004D50AC"/>
    <w:rsid w:val="004E33F2"/>
    <w:rsid w:val="004E6E3C"/>
    <w:rsid w:val="00502937"/>
    <w:rsid w:val="00507522"/>
    <w:rsid w:val="005124F1"/>
    <w:rsid w:val="00526E17"/>
    <w:rsid w:val="00530BAD"/>
    <w:rsid w:val="00541598"/>
    <w:rsid w:val="005446FA"/>
    <w:rsid w:val="00547DB7"/>
    <w:rsid w:val="00567324"/>
    <w:rsid w:val="005B0F49"/>
    <w:rsid w:val="005B487D"/>
    <w:rsid w:val="005C7EC6"/>
    <w:rsid w:val="005D4BDB"/>
    <w:rsid w:val="00622BAA"/>
    <w:rsid w:val="00623C6A"/>
    <w:rsid w:val="00625C89"/>
    <w:rsid w:val="00633C4F"/>
    <w:rsid w:val="00642BE8"/>
    <w:rsid w:val="0066102C"/>
    <w:rsid w:val="0067151E"/>
    <w:rsid w:val="00671BD5"/>
    <w:rsid w:val="006805C1"/>
    <w:rsid w:val="006816EC"/>
    <w:rsid w:val="00694556"/>
    <w:rsid w:val="006A2E22"/>
    <w:rsid w:val="006A4B79"/>
    <w:rsid w:val="006A4BE4"/>
    <w:rsid w:val="006B0230"/>
    <w:rsid w:val="006B5D44"/>
    <w:rsid w:val="006D1592"/>
    <w:rsid w:val="006E1A53"/>
    <w:rsid w:val="006F08B7"/>
    <w:rsid w:val="007035F9"/>
    <w:rsid w:val="007056AA"/>
    <w:rsid w:val="0072000E"/>
    <w:rsid w:val="00744F41"/>
    <w:rsid w:val="00781963"/>
    <w:rsid w:val="0079428E"/>
    <w:rsid w:val="00796504"/>
    <w:rsid w:val="00796810"/>
    <w:rsid w:val="007A24FE"/>
    <w:rsid w:val="007A35AA"/>
    <w:rsid w:val="007D4ACD"/>
    <w:rsid w:val="007F1048"/>
    <w:rsid w:val="007F10E0"/>
    <w:rsid w:val="007F3D83"/>
    <w:rsid w:val="00802C1F"/>
    <w:rsid w:val="00820005"/>
    <w:rsid w:val="008237D7"/>
    <w:rsid w:val="00836209"/>
    <w:rsid w:val="00846D27"/>
    <w:rsid w:val="008610A7"/>
    <w:rsid w:val="008D104F"/>
    <w:rsid w:val="008D5177"/>
    <w:rsid w:val="008E1332"/>
    <w:rsid w:val="008F6939"/>
    <w:rsid w:val="00903896"/>
    <w:rsid w:val="009211D9"/>
    <w:rsid w:val="00927813"/>
    <w:rsid w:val="00934D27"/>
    <w:rsid w:val="00944D13"/>
    <w:rsid w:val="00957C90"/>
    <w:rsid w:val="009A16F6"/>
    <w:rsid w:val="009B70F6"/>
    <w:rsid w:val="009C358E"/>
    <w:rsid w:val="009E0263"/>
    <w:rsid w:val="00A2354E"/>
    <w:rsid w:val="00A267CF"/>
    <w:rsid w:val="00A342BD"/>
    <w:rsid w:val="00A372B0"/>
    <w:rsid w:val="00A43458"/>
    <w:rsid w:val="00A7638C"/>
    <w:rsid w:val="00AB377D"/>
    <w:rsid w:val="00AB52D5"/>
    <w:rsid w:val="00AB7D84"/>
    <w:rsid w:val="00AC4E19"/>
    <w:rsid w:val="00AC74C4"/>
    <w:rsid w:val="00AF1ED6"/>
    <w:rsid w:val="00B142AE"/>
    <w:rsid w:val="00B32C61"/>
    <w:rsid w:val="00B368FE"/>
    <w:rsid w:val="00B40A8C"/>
    <w:rsid w:val="00B5113F"/>
    <w:rsid w:val="00B60302"/>
    <w:rsid w:val="00B80CBD"/>
    <w:rsid w:val="00B91900"/>
    <w:rsid w:val="00BA7675"/>
    <w:rsid w:val="00BB117D"/>
    <w:rsid w:val="00BB4307"/>
    <w:rsid w:val="00BC3369"/>
    <w:rsid w:val="00BC716A"/>
    <w:rsid w:val="00BE10A8"/>
    <w:rsid w:val="00BE5710"/>
    <w:rsid w:val="00BF77EE"/>
    <w:rsid w:val="00C05A41"/>
    <w:rsid w:val="00C05E0D"/>
    <w:rsid w:val="00C1369A"/>
    <w:rsid w:val="00C32E0F"/>
    <w:rsid w:val="00C42BF9"/>
    <w:rsid w:val="00C668D7"/>
    <w:rsid w:val="00C72435"/>
    <w:rsid w:val="00C80F60"/>
    <w:rsid w:val="00C836D8"/>
    <w:rsid w:val="00C83E56"/>
    <w:rsid w:val="00C84138"/>
    <w:rsid w:val="00CC63CE"/>
    <w:rsid w:val="00D03A8D"/>
    <w:rsid w:val="00D115C8"/>
    <w:rsid w:val="00D13E60"/>
    <w:rsid w:val="00D319B3"/>
    <w:rsid w:val="00D36A71"/>
    <w:rsid w:val="00D53924"/>
    <w:rsid w:val="00D54248"/>
    <w:rsid w:val="00D57518"/>
    <w:rsid w:val="00D60849"/>
    <w:rsid w:val="00D96D8C"/>
    <w:rsid w:val="00D9767B"/>
    <w:rsid w:val="00DA755B"/>
    <w:rsid w:val="00DC156E"/>
    <w:rsid w:val="00DC4D57"/>
    <w:rsid w:val="00DD2B14"/>
    <w:rsid w:val="00DD337E"/>
    <w:rsid w:val="00DD5DBC"/>
    <w:rsid w:val="00DE5728"/>
    <w:rsid w:val="00E00B6F"/>
    <w:rsid w:val="00E0662A"/>
    <w:rsid w:val="00E114A6"/>
    <w:rsid w:val="00E22753"/>
    <w:rsid w:val="00E30384"/>
    <w:rsid w:val="00E44DDF"/>
    <w:rsid w:val="00E51BCF"/>
    <w:rsid w:val="00E54642"/>
    <w:rsid w:val="00E56531"/>
    <w:rsid w:val="00E73741"/>
    <w:rsid w:val="00E97908"/>
    <w:rsid w:val="00EB7A2A"/>
    <w:rsid w:val="00EC44E2"/>
    <w:rsid w:val="00EC6F6D"/>
    <w:rsid w:val="00EF1BE6"/>
    <w:rsid w:val="00EF3ED0"/>
    <w:rsid w:val="00EF5F7E"/>
    <w:rsid w:val="00EF79A4"/>
    <w:rsid w:val="00F0434B"/>
    <w:rsid w:val="00F17A98"/>
    <w:rsid w:val="00F17E56"/>
    <w:rsid w:val="00F36F8A"/>
    <w:rsid w:val="00F46D85"/>
    <w:rsid w:val="00F66F02"/>
    <w:rsid w:val="00F845DB"/>
    <w:rsid w:val="00F9292E"/>
    <w:rsid w:val="00FA3012"/>
    <w:rsid w:val="00FB3C14"/>
    <w:rsid w:val="00FE5DA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C74C4"/>
    <w:pPr>
      <w:ind w:left="720"/>
      <w:contextualSpacing/>
    </w:pPr>
  </w:style>
  <w:style w:type="character" w:styleId="Hyperlink">
    <w:name w:val="Hyperlink"/>
    <w:semiHidden/>
    <w:unhideWhenUsed/>
    <w:rsid w:val="00E0662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30514">
      <w:bodyDiv w:val="1"/>
      <w:marLeft w:val="0"/>
      <w:marRight w:val="0"/>
      <w:marTop w:val="0"/>
      <w:marBottom w:val="0"/>
      <w:divBdr>
        <w:top w:val="none" w:sz="0" w:space="0" w:color="auto"/>
        <w:left w:val="none" w:sz="0" w:space="0" w:color="auto"/>
        <w:bottom w:val="none" w:sz="0" w:space="0" w:color="auto"/>
        <w:right w:val="none" w:sz="0" w:space="0" w:color="auto"/>
      </w:divBdr>
    </w:div>
    <w:div w:id="407074855">
      <w:bodyDiv w:val="1"/>
      <w:marLeft w:val="0"/>
      <w:marRight w:val="0"/>
      <w:marTop w:val="0"/>
      <w:marBottom w:val="0"/>
      <w:divBdr>
        <w:top w:val="none" w:sz="0" w:space="0" w:color="auto"/>
        <w:left w:val="none" w:sz="0" w:space="0" w:color="auto"/>
        <w:bottom w:val="none" w:sz="0" w:space="0" w:color="auto"/>
        <w:right w:val="none" w:sz="0" w:space="0" w:color="auto"/>
      </w:divBdr>
    </w:div>
    <w:div w:id="870922661">
      <w:bodyDiv w:val="1"/>
      <w:marLeft w:val="0"/>
      <w:marRight w:val="0"/>
      <w:marTop w:val="0"/>
      <w:marBottom w:val="0"/>
      <w:divBdr>
        <w:top w:val="none" w:sz="0" w:space="0" w:color="auto"/>
        <w:left w:val="none" w:sz="0" w:space="0" w:color="auto"/>
        <w:bottom w:val="none" w:sz="0" w:space="0" w:color="auto"/>
        <w:right w:val="none" w:sz="0" w:space="0" w:color="auto"/>
      </w:divBdr>
    </w:div>
    <w:div w:id="105994059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0142582">
      <w:bodyDiv w:val="1"/>
      <w:marLeft w:val="0"/>
      <w:marRight w:val="0"/>
      <w:marTop w:val="0"/>
      <w:marBottom w:val="0"/>
      <w:divBdr>
        <w:top w:val="none" w:sz="0" w:space="0" w:color="auto"/>
        <w:left w:val="none" w:sz="0" w:space="0" w:color="auto"/>
        <w:bottom w:val="none" w:sz="0" w:space="0" w:color="auto"/>
        <w:right w:val="none" w:sz="0" w:space="0" w:color="auto"/>
      </w:divBdr>
    </w:div>
    <w:div w:id="16492375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994"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nevo.co.il/law/72994"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nevo.co.il/case/5781802"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994/4"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case/17929272" TargetMode="External"/><Relationship Id="rId23" Type="http://schemas.openxmlformats.org/officeDocument/2006/relationships/fontTable" Target="fontTable.xml"/><Relationship Id="rId10" Type="http://schemas.openxmlformats.org/officeDocument/2006/relationships/hyperlink" Target="http://www.nevo.co.il/case/17945334"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evo.co.il/case/24973848" TargetMode="External"/><Relationship Id="rId14" Type="http://schemas.openxmlformats.org/officeDocument/2006/relationships/hyperlink" Target="http://www.nevo.co.il/case/17945334"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222085376</CasePartyID>
        <PartyTypeID>3</PartyTypeID>
        <ActivityStatusID>1</ActivityStatusID>
        <LegalEntityID>45205473</LegalEntityID>
        <CaseLegalEntityID>114046834</CaseLegalEntityID>
        <AssistantRoleID>33</AssistantRoleID>
        <AuthenticationTypeID>13</AuthenticationTypeID>
        <AuthenticationTypeName>משרדי ממשלה</AuthenticationTypeName>
        <LegalEntityNumber>570000884</LegalEntityNumber>
        <IsMainPartyType>true</IsMainPartyType>
        <CaseDisplayIdentifier>41470-10-20</CaseDisplayIdentifier>
        <CaseTypeID>15</CaseTypeID>
        <CaseTypeName>תיק משפחה (תמ"ש)</CaseTypeName>
        <CaseName>עמוס נ' עמוס</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אשר עמוס</FullName>
        <FirstName>אשר</FirstName>
        <LastName>עמוס</LastName>
        <PartyPropertyName/>
        <AuthenticationTypeAndNumber>ת"ז 022624464</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249112832</CasePartyID>
        <PartyTypeID>4</PartyTypeID>
        <ActivityStatusID>1</ActivityStatusID>
        <PartyAliasID>62</PartyAliasID>
        <PartyAliasName>עד הגנה</PartyAliasName>
        <LegalEntityID>71336966</LegalEntityID>
        <CaseLegalEntityID>122319099</CaseLegalEntityID>
        <AuthenticationTypeID>1</AuthenticationTypeID>
        <AuthenticationTypeName>ת"ז</AuthenticationTypeName>
        <LegalEntityNumber>022624464</LegalEntityNumber>
        <IsMainPartyType>true</IsMainPartyType>
        <CaseDisplayIdentifier>41470-10-20</CaseDisplayIdentifier>
        <CaseTypeID>15</CaseTypeID>
        <CaseTypeName>תיק משפחה (תמ"ש)</CaseTypeName>
        <CaseName>עמוס נ' עמוס</CaseName>
        <FullAddress>הדס 18 עומר </FullAddress>
        <MotionID>0</MotionID>
        <CasePleaID>0</CasePleaID>
        <FatherName>אברהם</FatherName>
        <LinkedCaseID>0</LinkedCaseID>
        <PartyID>2</PartyID>
        <CasePartyCategoryID>2</CasePartyCategoryID>
        <LegalEntityAddressID>87288124</LegalEntityAddressID>
        <PleaTypeID>4</PleaTypeID>
        <GroupPartyAlias/>
        <IsConverted>false</IsConverted>
        <LegalEntityRegisteredNameID>3188646</LegalEntityRegisteredNameID>
        <LegalEntityNameID>94083119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עמוס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אליגון</FullName>
        <FirstName>דני</FirstName>
        <LastName>אליגון</LastName>
        <PartyPropertyName/>
        <AuthenticationTypeAndNumber>מ.ר. 24811</AuthenticationTypeAndNumber>
        <RepresentatedOrRepresentativesNames>רחל עמוס</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218121281</CasePartyID>
        <PartyTypeID>2</PartyTypeID>
        <ActivityStatusID>1</ActivityStatusID>
        <PartyAliasID>21</PartyAliasID>
        <PartyAliasName>בא כוח נתבעים</PartyAliasName>
        <LegalEntityID>390209</LegalEntityID>
        <CaseLegalEntityID>112892757</CaseLegalEntityID>
        <AuthenticationTypeID>4</AuthenticationTypeID>
        <AuthenticationTypeName>מ.ר.</AuthenticationTypeName>
        <LegalEntityNumber>24811</LegalEntityNumber>
        <IsMainPartyType>true</IsMainPartyType>
        <CaseDisplayIdentifier>41470-10-20</CaseDisplayIdentifier>
        <CaseTypeID>15</CaseTypeID>
        <CaseTypeName>תיק משפחה (תמ"ש)</CaseTypeName>
        <CaseName>עמוס נ' עמוס</CaseName>
        <FullAddress>חיים יחיל 3 באר שבע </FullAddress>
        <EmailAddress>da-law@da-law.biz</EmailAddress>
        <MotionID>0</MotionID>
        <CasePleaID>0</CasePleaID>
        <FatherName xml:space="preserve">        </FatherName>
        <LinkedCaseID>0</LinkedCaseID>
        <PartyID>2</PartyID>
        <CasePartyCategoryID>2</CasePartyCategoryID>
        <LegalEntityAddressID>70471635</LegalEntityAddressID>
        <LegalEntityEmailAddressID>31822675</LegalEntityEmailAddressID>
        <PleaTypeID>4</PleaTypeID>
        <LawyerOfficeName>משרד עו"ד: דני אליגון</LawyerOfficeName>
        <LawyerOfficeID>430853</LawyerOfficeID>
        <GroupPartyAlias/>
        <IsConverted>false</IsConverted>
        <LegalEntityNameID>11193</LegalEntityNameID>
        <RepresentatedNamesOfAssistant/>
        <LegalEntityTypeID>4</LegalEntityTypeID>
        <IsVerdictExists>false</IsVerdictExists>
        <IsAsirAzir>false</IsAsirAzir>
        <IsPublicationProhibited>false</IsPublicationProhibited>
        <PublicationProhibitedFullName>דני אליגון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248800101</CasePartyID>
        <PartyTypeID>3</PartyTypeID>
        <ActivityStatusID>1</ActivityStatusID>
        <OrdinalNumber>1</OrdinalNumber>
        <LegalEntityID>282141</LegalEntityID>
        <CaseLegalEntityID>122225546</CaseLegalEntityID>
        <AssistantRoleID>33</AssistantRoleID>
        <AuthenticationTypeID>3</AuthenticationTypeID>
        <AuthenticationTypeName>חברות</AuthenticationTypeName>
        <LegalEntityNumber>512892126</LegalEntityNumber>
        <IsMainPartyType>true</IsMainPartyType>
        <CaseDisplayIdentifier>41470-10-20</CaseDisplayIdentifier>
        <CaseTypeID>15</CaseTypeID>
        <CaseTypeName>תיק משפחה (תמ"ש)</CaseTypeName>
        <CaseName>עמוס נ' עמוס</CaseName>
        <FullAddress/>
        <MotionID>0</MotionID>
        <CasePleaID>0</CasePleaID>
        <LinkedCaseID>0</LinkedCaseID>
        <PartyID>1</PartyID>
        <CasePartyCategoryID>2</CasePartyCategory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מזל עמוס</FullName>
        <FirstName>מזל</FirstName>
        <LastName>עמוס</LastName>
        <PartyPropertyName/>
        <AuthenticationTypeAndNumber>ת"ז 062050760</AuthenticationTypeAndNumber>
        <RepresentatedOrRepresentativesNames>איציק מלכא</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217654052</CasePartyID>
        <PartyTypeID>1</PartyTypeID>
        <ActivityStatusID>1</ActivityStatusID>
        <PartyAliasID>1</PartyAliasID>
        <PartyAliasName>תובע</PartyAliasName>
        <OrdinalNumber>1</OrdinalNumber>
        <LegalEntityID>78204541</LegalEntityID>
        <CaseLegalEntityID>112748631</CaseLegalEntityID>
        <AuthenticationTypeID>1</AuthenticationTypeID>
        <AuthenticationTypeName>ת"ז</AuthenticationTypeName>
        <LegalEntityNumber>062050760</LegalEntityNumber>
        <IsMainPartyType>true</IsMainPartyType>
        <CaseDisplayIdentifier>41470-10-20</CaseDisplayIdentifier>
        <CaseTypeID>15</CaseTypeID>
        <CaseTypeName>תיק משפחה (תמ"ש)</CaseTypeName>
        <CaseName>עמוס נ' עמוס</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8678528</LegalEntityRegisteredNameID>
        <LegalEntityNameID>90358068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מזל עמוס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איציק מלכא</FullName>
        <FirstName>איציק</FirstName>
        <LastName>מלכא</LastName>
        <PartyPropertyName/>
        <AuthenticationTypeAndNumber>מ.ר. 66473</AuthenticationTypeAndNumber>
        <RepresentatedOrRepresentativesNames>מזל עמוס</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217654053</CasePartyID>
        <PartyTypeID>2</PartyTypeID>
        <ActivityStatusID>1</ActivityStatusID>
        <PartyAliasID>20</PartyAliasID>
        <PartyAliasName>בא כוח תובעים</PartyAliasName>
        <OrdinalNumber>1</OrdinalNumber>
        <LegalEntityID>72642850</LegalEntityID>
        <CaseLegalEntityID>112748632</CaseLegalEntityID>
        <AuthenticationTypeID>4</AuthenticationTypeID>
        <AuthenticationTypeName>מ.ר.</AuthenticationTypeName>
        <LegalEntityNumber>66473</LegalEntityNumber>
        <IsMainPartyType>true</IsMainPartyType>
        <CaseDisplayIdentifier>41470-10-20</CaseDisplayIdentifier>
        <CaseTypeID>15</CaseTypeID>
        <CaseTypeName>תיק משפחה (תמ"ש)</CaseTypeName>
        <CaseName>עמוס נ' עמוס</CaseName>
        <FullAddress>כלנית 20 באר שבע </FullAddress>
        <MotionID>0</MotionID>
        <CasePleaID>0</CasePleaID>
        <LinkedCaseID>0</LinkedCaseID>
        <PartyID>1</PartyID>
        <CasePartyCategoryID>2</CasePartyCategoryID>
        <LegalEntityAddressID>80924349</LegalEntityAddressID>
        <PleaTypeID>4</PleaTypeID>
        <LawyerOfficeName>משרד עו"ד איציק מלכא</LawyerOfficeName>
        <LawyerOfficeID>72642851</LawyerOfficeID>
        <GroupPartyAlias/>
        <IsConverted>false</IsConverted>
        <LegalEntityNameID>76734797</LegalEntityNameID>
        <RepresentatedNamesOfAssistant/>
        <LegalEntityTypeID>4</LegalEntityTypeID>
        <IsVerdictExists>false</IsVerdictExists>
        <IsAsirAzir>false</IsAsirAzir>
        <IsPublicationProhibited>false</IsPublicationProhibited>
        <PublicationProhibitedFullName>איציק מלכא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עמוס</FullName>
        <FirstName>רחל</FirstName>
        <LastName>עמוס</LastName>
        <PartyPropertyName/>
        <AuthenticationTypeAndNumber>ת"ז 033019563</AuthenticationTypeAndNumber>
        <RepresentatedOrRepresentativesNames>דני אליגון</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217654054</CasePartyID>
        <PartyTypeID>1</PartyTypeID>
        <ActivityStatusID>1</ActivityStatusID>
        <PartyAliasID>2</PartyAliasID>
        <PartyAliasName>נתבע</PartyAliasName>
        <OrdinalNumber>1</OrdinalNumber>
        <LegalEntityID>72192812</LegalEntityID>
        <CaseLegalEntityID>112748633</CaseLegalEntityID>
        <AuthenticationTypeID>1</AuthenticationTypeID>
        <AuthenticationTypeName>ת"ז</AuthenticationTypeName>
        <LegalEntityNumber>033019563</LegalEntityNumber>
        <IsMainPartyType>true</IsMainPartyType>
        <CaseDisplayIdentifier>41470-10-20</CaseDisplayIdentifier>
        <CaseTypeID>15</CaseTypeID>
        <CaseTypeName>תיק משפחה (תמ"ש)</CaseTypeName>
        <CaseName>עמוס נ' עמוס</CaseName>
        <FullAddress>שכם 26/11 באר שבע </FullAddress>
        <MotionID>0</MotionID>
        <CasePleaID>0</CasePleaID>
        <FatherName>אברהם</FatherName>
        <LinkedCaseID>0</LinkedCaseID>
        <PartyID>2</PartyID>
        <CasePartyCategoryID>2</CasePartyCategoryID>
        <LegalEntityAddressID>84435113</LegalEntityAddressID>
        <PleaTypeID>4</PleaTypeID>
        <GroupPartyAlias>נתבעים</GroupPartyAlias>
        <IsConverted>false</IsConverted>
        <LegalEntityRegisteredNameID>7665180</LegalEntityRegisteredNameID>
        <LegalEntityNameID>90358069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עמוס</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2023-10-25T08:41:01.0775854+03:00</DecisionSignatureDate>
    <OpenCaseDate>2020-10-21T11:16:00+03:00</OpenCaseDate>
    <CaseFeeSum>0.000</CaseFeeSum>
    <DecisionTypeID>2</DecisionTypeID>
    <DecisionSignatureUserName>רותם קודלר עיאש</DecisionSignatureUserName>
    <DecisionSignatureDateHebrew>2023-10-25T08:41:01.0775854+03:00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עמוס נ' עמוס</CaseName>
    <DecisionNumberInCase>5</DecisionNumberInCase>
  </dt_Decision>
  <dt_DecisionCase>
    <DecisionID>0</DecisionID>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222085376</CasePartyID>
        <PartyTypeID>3</PartyTypeID>
        <ActivityStatusID>1</ActivityStatusID>
        <LegalEntityID>45205473</LegalEntityID>
        <CaseLegalEntityID>114046834</CaseLegalEntityID>
        <AssistantRoleID>33</AssistantRoleID>
        <AuthenticationTypeID>13</AuthenticationTypeID>
        <AuthenticationTypeName>משרדי ממשלה</AuthenticationTypeName>
        <LegalEntityNumber>570000884</LegalEntityNumber>
        <IsMainPartyType>true</IsMainPartyType>
        <CaseDisplayIdentifier>41470-10-20</CaseDisplayIdentifier>
        <CaseTypeID>15</CaseTypeID>
        <CaseTypeName>תיק משפחה (תמ"ש)</CaseTypeName>
        <CaseName>עמוס נ' עמוס</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אשר עמוס</FullName>
        <FirstName>אשר</FirstName>
        <LastName>עמוס</LastName>
        <PartyPropertyName/>
        <AuthenticationTypeAndNumber>ת"ז 022624464</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249112832</CasePartyID>
        <PartyTypeID>4</PartyTypeID>
        <ActivityStatusID>1</ActivityStatusID>
        <PartyAliasID>62</PartyAliasID>
        <PartyAliasName>עד הגנה</PartyAliasName>
        <LegalEntityID>71336966</LegalEntityID>
        <CaseLegalEntityID>122319099</CaseLegalEntityID>
        <AuthenticationTypeID>1</AuthenticationTypeID>
        <AuthenticationTypeName>ת"ז</AuthenticationTypeName>
        <LegalEntityNumber>022624464</LegalEntityNumber>
        <IsMainPartyType>true</IsMainPartyType>
        <CaseDisplayIdentifier>41470-10-20</CaseDisplayIdentifier>
        <CaseTypeID>15</CaseTypeID>
        <CaseTypeName>תיק משפחה (תמ"ש)</CaseTypeName>
        <CaseName>עמוס נ' עמוס</CaseName>
        <FullAddress>הדס 18 עומר </FullAddress>
        <MotionID>0</MotionID>
        <CasePleaID>0</CasePleaID>
        <FatherName>אברהם</FatherName>
        <LinkedCaseID>0</LinkedCaseID>
        <PartyID>2</PartyID>
        <CasePartyCategoryID>2</CasePartyCategoryID>
        <LegalEntityAddressID>87288124</LegalEntityAddressID>
        <PleaTypeID>4</PleaTypeID>
        <GroupPartyAlias/>
        <IsConverted>false</IsConverted>
        <LegalEntityRegisteredNameID>3188646</LegalEntityRegisteredNameID>
        <LegalEntityNameID>94083119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עמוס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אליגון</FullName>
        <FirstName>דני</FirstName>
        <LastName>אליגון</LastName>
        <PartyPropertyName/>
        <AuthenticationTypeAndNumber>מ.ר. 24811</AuthenticationTypeAndNumber>
        <RepresentatedOrRepresentativesNames>רחל עמוס</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218121281</CasePartyID>
        <PartyTypeID>2</PartyTypeID>
        <ActivityStatusID>1</ActivityStatusID>
        <PartyAliasID>21</PartyAliasID>
        <PartyAliasName>בא כוח נתבעים</PartyAliasName>
        <LegalEntityID>390209</LegalEntityID>
        <CaseLegalEntityID>112892757</CaseLegalEntityID>
        <AuthenticationTypeID>4</AuthenticationTypeID>
        <AuthenticationTypeName>מ.ר.</AuthenticationTypeName>
        <LegalEntityNumber>24811</LegalEntityNumber>
        <IsMainPartyType>true</IsMainPartyType>
        <CaseDisplayIdentifier>41470-10-20</CaseDisplayIdentifier>
        <CaseTypeID>15</CaseTypeID>
        <CaseTypeName>תיק משפחה (תמ"ש)</CaseTypeName>
        <CaseName>עמוס נ' עמוס</CaseName>
        <FullAddress>חיים יחיל 3 באר שבע </FullAddress>
        <EmailAddress>da-law@da-law.biz</EmailAddress>
        <MotionID>0</MotionID>
        <CasePleaID>0</CasePleaID>
        <FatherName xml:space="preserve">        </FatherName>
        <LinkedCaseID>0</LinkedCaseID>
        <PartyID>2</PartyID>
        <CasePartyCategoryID>2</CasePartyCategoryID>
        <LegalEntityAddressID>70471635</LegalEntityAddressID>
        <LegalEntityEmailAddressID>31822675</LegalEntityEmailAddressID>
        <PleaTypeID>4</PleaTypeID>
        <LawyerOfficeName>משרד עו"ד: דני אליגון</LawyerOfficeName>
        <LawyerOfficeID>430853</LawyerOfficeID>
        <GroupPartyAlias/>
        <IsConverted>false</IsConverted>
        <LegalEntityNameID>11193</LegalEntityNameID>
        <RepresentatedNamesOfAssistant/>
        <LegalEntityTypeID>4</LegalEntityTypeID>
        <IsVerdictExists>false</IsVerdictExists>
        <IsAsirAzir>false</IsAsirAzir>
        <IsPublicationProhibited>false</IsPublicationProhibited>
        <PublicationProhibitedFullName>דני אליגון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248800101</CasePartyID>
        <PartyTypeID>3</PartyTypeID>
        <ActivityStatusID>1</ActivityStatusID>
        <OrdinalNumber>1</OrdinalNumber>
        <LegalEntityID>282141</LegalEntityID>
        <CaseLegalEntityID>122225546</CaseLegalEntityID>
        <AssistantRoleID>33</AssistantRoleID>
        <AuthenticationTypeID>3</AuthenticationTypeID>
        <AuthenticationTypeName>חברות</AuthenticationTypeName>
        <LegalEntityNumber>512892126</LegalEntityNumber>
        <IsMainPartyType>true</IsMainPartyType>
        <CaseDisplayIdentifier>41470-10-20</CaseDisplayIdentifier>
        <CaseTypeID>15</CaseTypeID>
        <CaseTypeName>תיק משפחה (תמ"ש)</CaseTypeName>
        <CaseName>עמוס נ' עמוס</CaseName>
        <FullAddress/>
        <MotionID>0</MotionID>
        <CasePleaID>0</CasePleaID>
        <LinkedCaseID>0</LinkedCaseID>
        <PartyID>1</PartyID>
        <CasePartyCategoryID>2</CasePartyCategory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מזל עמוס</FullName>
        <FirstName>מזל</FirstName>
        <LastName>עמוס</LastName>
        <PartyPropertyName/>
        <AuthenticationTypeAndNumber>ת"ז 062050760</AuthenticationTypeAndNumber>
        <RepresentatedOrRepresentativesNames>איציק מלכא</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217654052</CasePartyID>
        <PartyTypeID>1</PartyTypeID>
        <ActivityStatusID>1</ActivityStatusID>
        <PartyAliasID>1</PartyAliasID>
        <PartyAliasName>תובע</PartyAliasName>
        <OrdinalNumber>1</OrdinalNumber>
        <LegalEntityID>78204541</LegalEntityID>
        <CaseLegalEntityID>112748631</CaseLegalEntityID>
        <AuthenticationTypeID>1</AuthenticationTypeID>
        <AuthenticationTypeName>ת"ז</AuthenticationTypeName>
        <LegalEntityNumber>062050760</LegalEntityNumber>
        <IsMainPartyType>true</IsMainPartyType>
        <CaseDisplayIdentifier>41470-10-20</CaseDisplayIdentifier>
        <CaseTypeID>15</CaseTypeID>
        <CaseTypeName>תיק משפחה (תמ"ש)</CaseTypeName>
        <CaseName>עמוס נ' עמוס</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8678528</LegalEntityRegisteredNameID>
        <LegalEntityNameID>90358068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מזל עמוס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איציק מלכא</FullName>
        <FirstName>איציק</FirstName>
        <LastName>מלכא</LastName>
        <PartyPropertyName/>
        <AuthenticationTypeAndNumber>מ.ר. 66473</AuthenticationTypeAndNumber>
        <RepresentatedOrRepresentativesNames>מזל עמוס</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217654053</CasePartyID>
        <PartyTypeID>2</PartyTypeID>
        <ActivityStatusID>1</ActivityStatusID>
        <PartyAliasID>20</PartyAliasID>
        <PartyAliasName>בא כוח תובעים</PartyAliasName>
        <OrdinalNumber>1</OrdinalNumber>
        <LegalEntityID>72642850</LegalEntityID>
        <CaseLegalEntityID>112748632</CaseLegalEntityID>
        <AuthenticationTypeID>4</AuthenticationTypeID>
        <AuthenticationTypeName>מ.ר.</AuthenticationTypeName>
        <LegalEntityNumber>66473</LegalEntityNumber>
        <IsMainPartyType>true</IsMainPartyType>
        <CaseDisplayIdentifier>41470-10-20</CaseDisplayIdentifier>
        <CaseTypeID>15</CaseTypeID>
        <CaseTypeName>תיק משפחה (תמ"ש)</CaseTypeName>
        <CaseName>עמוס נ' עמוס</CaseName>
        <FullAddress>כלנית 20 באר שבע </FullAddress>
        <MotionID>0</MotionID>
        <CasePleaID>0</CasePleaID>
        <LinkedCaseID>0</LinkedCaseID>
        <PartyID>1</PartyID>
        <CasePartyCategoryID>2</CasePartyCategoryID>
        <LegalEntityAddressID>80924349</LegalEntityAddressID>
        <PleaTypeID>4</PleaTypeID>
        <LawyerOfficeName>משרד עו"ד איציק מלכא</LawyerOfficeName>
        <LawyerOfficeID>72642851</LawyerOfficeID>
        <GroupPartyAlias/>
        <IsConverted>false</IsConverted>
        <LegalEntityNameID>76734797</LegalEntityNameID>
        <RepresentatedNamesOfAssistant/>
        <LegalEntityTypeID>4</LegalEntityTypeID>
        <IsVerdictExists>false</IsVerdictExists>
        <IsAsirAzir>false</IsAsirAzir>
        <IsPublicationProhibited>false</IsPublicationProhibited>
        <PublicationProhibitedFullName>איציק מלכא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עמוס</FullName>
        <FirstName>רחל</FirstName>
        <LastName>עמוס</LastName>
        <PartyPropertyName/>
        <AuthenticationTypeAndNumber>ת"ז 033019563</AuthenticationTypeAndNumber>
        <RepresentatedOrRepresentativesNames>דני אליגון</RepresentatedOrRepresentativesNames>
        <RepresentatedOrRepresentativesCount>1</RepresentatedOrRepresentativesCount>
        <InvitedBy/>
        <CaseID>77800129</CaseID>
        <CaseJudicialPersonPresentationDS>
          <CaseJudicalPersonActive>
            <CaseID>77800129</CaseID>
            <JudicialPersonID>025596065@GOV.IL</JudicialPersonID>
            <JudicialPersonTypeID>1</JudicialPersonTypeID>
            <JudicialTypeID>1</JudicialTypeID>
            <IsChairman>false</IsChairman>
            <TreatmentStartDate>2020-10-21T11:24:57.71+03:00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217654054</CasePartyID>
        <PartyTypeID>1</PartyTypeID>
        <ActivityStatusID>1</ActivityStatusID>
        <PartyAliasID>2</PartyAliasID>
        <PartyAliasName>נתבע</PartyAliasName>
        <OrdinalNumber>1</OrdinalNumber>
        <LegalEntityID>72192812</LegalEntityID>
        <CaseLegalEntityID>112748633</CaseLegalEntityID>
        <AuthenticationTypeID>1</AuthenticationTypeID>
        <AuthenticationTypeName>ת"ז</AuthenticationTypeName>
        <LegalEntityNumber>033019563</LegalEntityNumber>
        <IsMainPartyType>true</IsMainPartyType>
        <CaseDisplayIdentifier>41470-10-20</CaseDisplayIdentifier>
        <CaseTypeID>15</CaseTypeID>
        <CaseTypeName>תיק משפחה (תמ"ש)</CaseTypeName>
        <CaseName>עמוס נ' עמוס</CaseName>
        <FullAddress>שכם 26/11 באר שבע </FullAddress>
        <MotionID>0</MotionID>
        <CasePleaID>0</CasePleaID>
        <FatherName>אברהם</FatherName>
        <LinkedCaseID>0</LinkedCaseID>
        <PartyID>2</PartyID>
        <CasePartyCategoryID>2</CasePartyCategoryID>
        <LegalEntityAddressID>84435113</LegalEntityAddressID>
        <PleaTypeID>4</PleaTypeID>
        <GroupPartyAlias>נתבעים</GroupPartyAlias>
        <IsConverted>false</IsConverted>
        <LegalEntityRegisteredNameID>7665180</LegalEntityRegisteredNameID>
        <LegalEntityNameID>90358069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עמוס</PublicationProhibitedFullName>
      </CaseParties>
    </CasePartiesSelectionDS>
    <CaseName>עמוס נ' עמוס</CaseName>
    <CaseDisplayIdentifier>41470-10-20</CaseDisplayIdentifier>
    <CaseInterestID>158</CaseInterestID>
    <CaseTypeShortName>תמ"ש</CaseTypeShortName>
  </dt_DecisionCase>
  <dt_DecisionJudgePanel>
    <JudgeID>025596065@GOV.IL</JudgeID>
    <DisplayName>רותם קודלר עיאש</DisplayName>
    <RoleName>שופט</RoleName>
    <UserTitleName>שופטת, סגנית הנשיא</UserTitleName>
  </dt_DecisionJudgePanel>
  <dt_LegalEntityDetails>
    <Fax>08-6233315</Fax>
    <Phone>08-6233314</Phone>
    <PartyID>2</PartyID>
    <PartyTypeID>2</PartyTypeID>
    <DecisionID>0</DecisionID>
    <StreetName>חיים יחיל 3</StreetName>
    <ZipCode>84896</ZipCode>
    <CityName>באר שבע</CityName>
    <FullName>דני אליגון</FullName>
    <Email>da-law@da-law.biz</Email>
    <IsPublicationProhibited>false</IsPublicationProhibited>
  </dt_LegalEntityDetails>
  <dt_LegalEntityDetails>
    <Fax>02-5085088</Fax>
    <Phone>073-3745230</Phone>
    <AddressDesc/>
    <PartyID>1</PartyID>
    <PartyTypeID>3</PartyTypeID>
    <DecisionID>0</DecisionID>
    <AssistantRoleID>33</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מזל עמוס</FullName>
    <IsPublicationProhibited>false</IsPublicationProhibited>
  </dt_LegalEntityDetails>
  <dt_LegalEntityDetails>
    <Fax>08-6902707</Fax>
    <Phone>08-6902707</Phone>
    <PartyID>1</PartyID>
    <PartyTypeID>2</PartyTypeID>
    <DecisionID>0</DecisionID>
    <StreetName>כלנית 20</StreetName>
    <CityName>באר שבע</CityName>
    <FullName>איציק מלכא</FullName>
    <Email>malka@izack-law.co.il</Email>
    <IsPublicationProhibited>false</IsPublicationProhibited>
  </dt_LegalEntityDetails>
  <dt_LegalEntityDetails>
    <PartyID>2</PartyID>
    <PartyTypeID>1</PartyTypeID>
    <DecisionID>0</DecisionID>
    <StreetName>שכם 26/11</StreetName>
    <CityName>באר שבע</CityName>
    <FullName>רחל עמוס</FullName>
    <IsPublicationProhibited>false</IsPublicationProhibited>
  </dt_LegalEntityDetails>
  <dt_LegalEntityDetails>
    <Fax/>
    <Phone/>
    <AddressDesc/>
    <PartyID>1</PartyID>
    <PartyTypeID>3</PartyTypeID>
    <DecisionID>0</DecisionID>
    <AssistantRoleID>33</AssistantRoleID>
    <StreetName/>
    <CityName/>
    <FullName> חבר תרגומים בע"מ</FullName>
    <Email/>
    <IsPublicationProhibited>false</IsPublicationProhibited>
  </dt_LegalEntityDetails>
  <dt_CaseJudicalPersonActive>
    <CaseJudicalPerson>שופטת, סגנית הנשיא רותם קודלר עיאש</CaseJudicalPerson>
  </dt_CaseJudicalPersonActive>
  <dt_Sitting>
    <PreviousMeetingDate>2023-01-02T09:30:00+02:00</PreviousMeetingDate>
    <PreviousSittingTypeID>2</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9D8B0E86-E368-42C6-8262-637A89A7FE0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8400</Words>
  <Characters>37296</Characters>
  <Application>Microsoft Office Word</Application>
  <DocSecurity>4</DocSecurity>
  <Lines>777</Lines>
  <Paragraphs>247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2023-10-25T09:05:00Z</cp:lastPrinted>
  <dcterms:created xsi:type="dcterms:W3CDTF">2023-11-15T12:05:00Z</dcterms:created>
  <dcterms:modified xsi:type="dcterms:W3CDTF">2023-11-15T12:05:00Z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54ab5ef81db1a028ed0388de6777472759eff618db8b5afabb88fd708e393440</vt:lpwstr>
  </property>
</Properties>
</file>